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88207" w14:textId="2638F7A8" w:rsidR="00F85F55" w:rsidRPr="00E71E7E" w:rsidRDefault="003A5178" w:rsidP="00E71E7E">
      <w:pPr>
        <w:spacing w:after="60" w:line="240" w:lineRule="exact"/>
        <w:jc w:val="both"/>
        <w:rPr>
          <w:rFonts w:ascii="Times New Roman" w:hAnsi="Times New Roman" w:cs="Times New Roman"/>
          <w:b/>
          <w:sz w:val="24"/>
          <w:szCs w:val="24"/>
        </w:rPr>
      </w:pPr>
      <w:bookmarkStart w:id="0" w:name="_Hlk153619543"/>
      <w:r w:rsidRPr="00E71E7E">
        <w:rPr>
          <w:rFonts w:ascii="Times New Roman" w:hAnsi="Times New Roman" w:cs="Times New Roman"/>
          <w:b/>
          <w:sz w:val="24"/>
          <w:szCs w:val="24"/>
        </w:rPr>
        <w:t>LA LIMITACIÓN DEL ART</w:t>
      </w:r>
      <w:r w:rsidR="00E71E7E" w:rsidRPr="00E71E7E">
        <w:rPr>
          <w:rFonts w:ascii="Times New Roman" w:hAnsi="Times New Roman" w:cs="Times New Roman"/>
          <w:b/>
          <w:sz w:val="24"/>
          <w:szCs w:val="24"/>
        </w:rPr>
        <w:t>ÍCULO</w:t>
      </w:r>
      <w:r w:rsidRPr="00E71E7E">
        <w:rPr>
          <w:rFonts w:ascii="Times New Roman" w:hAnsi="Times New Roman" w:cs="Times New Roman"/>
          <w:b/>
          <w:sz w:val="24"/>
          <w:szCs w:val="24"/>
        </w:rPr>
        <w:t xml:space="preserve"> 1 DEL </w:t>
      </w:r>
      <w:r w:rsidR="00E71E7E" w:rsidRPr="00E71E7E">
        <w:rPr>
          <w:rFonts w:ascii="Times New Roman" w:hAnsi="Times New Roman" w:cs="Times New Roman"/>
          <w:b/>
          <w:sz w:val="24"/>
          <w:szCs w:val="24"/>
        </w:rPr>
        <w:t xml:space="preserve">DL </w:t>
      </w:r>
      <w:r w:rsidRPr="00E71E7E">
        <w:rPr>
          <w:rFonts w:ascii="Times New Roman" w:hAnsi="Times New Roman" w:cs="Times New Roman"/>
          <w:b/>
          <w:sz w:val="24"/>
          <w:szCs w:val="24"/>
        </w:rPr>
        <w:t>29/2026 A LA ADQUIS</w:t>
      </w:r>
      <w:r w:rsidR="00E71E7E" w:rsidRPr="00E71E7E">
        <w:rPr>
          <w:rFonts w:ascii="Times New Roman" w:hAnsi="Times New Roman" w:cs="Times New Roman"/>
          <w:b/>
          <w:sz w:val="24"/>
          <w:szCs w:val="24"/>
        </w:rPr>
        <w:t>I</w:t>
      </w:r>
      <w:r w:rsidRPr="00E71E7E">
        <w:rPr>
          <w:rFonts w:ascii="Times New Roman" w:hAnsi="Times New Roman" w:cs="Times New Roman"/>
          <w:b/>
          <w:sz w:val="24"/>
          <w:szCs w:val="24"/>
        </w:rPr>
        <w:t>CIÓN DE VIVIENDAS POR FONDOS BUITRES Y GRANDES TENEDORES</w:t>
      </w:r>
    </w:p>
    <w:bookmarkEnd w:id="0"/>
    <w:p w14:paraId="2281076F" w14:textId="77777777" w:rsidR="00F85F55" w:rsidRPr="00E71E7E" w:rsidRDefault="00F85F55" w:rsidP="00E71E7E">
      <w:pPr>
        <w:spacing w:line="220" w:lineRule="exact"/>
        <w:rPr>
          <w:rFonts w:ascii="Times New Roman" w:hAnsi="Times New Roman" w:cs="Times New Roman"/>
          <w:b/>
          <w:sz w:val="24"/>
          <w:szCs w:val="24"/>
        </w:rPr>
      </w:pPr>
      <w:r w:rsidRPr="00E71E7E">
        <w:rPr>
          <w:rFonts w:ascii="Times New Roman" w:hAnsi="Times New Roman" w:cs="Times New Roman"/>
          <w:b/>
          <w:i/>
          <w:sz w:val="24"/>
          <w:szCs w:val="24"/>
        </w:rPr>
        <w:t>Vicente Martorell. Notario de Oviedo</w:t>
      </w:r>
    </w:p>
    <w:p w14:paraId="20F2166E" w14:textId="77777777" w:rsidR="00F85F55" w:rsidRPr="003A5178" w:rsidRDefault="00F85F55" w:rsidP="00F85F55">
      <w:pPr>
        <w:rPr>
          <w:rFonts w:ascii="Times New Roman" w:hAnsi="Times New Roman" w:cs="Times New Roman"/>
        </w:rPr>
      </w:pPr>
    </w:p>
    <w:p w14:paraId="02533515" w14:textId="77777777" w:rsidR="00F85F55" w:rsidRPr="003A5178" w:rsidRDefault="00F85F55" w:rsidP="00F85F55">
      <w:pPr>
        <w:rPr>
          <w:rFonts w:ascii="Times New Roman" w:hAnsi="Times New Roman" w:cs="Times New Roman"/>
        </w:rPr>
      </w:pPr>
      <w:r w:rsidRPr="003A5178">
        <w:rPr>
          <w:rFonts w:ascii="Times New Roman" w:hAnsi="Times New Roman" w:cs="Times New Roman"/>
        </w:rPr>
        <w:t>N</w:t>
      </w:r>
      <w:r w:rsidRPr="003A5178">
        <w:rPr>
          <w:rFonts w:ascii="Times New Roman" w:hAnsi="Times New Roman" w:cs="Times New Roman"/>
          <w:sz w:val="20"/>
          <w:szCs w:val="20"/>
        </w:rPr>
        <w:t>OTA</w:t>
      </w:r>
      <w:r w:rsidRPr="003A5178">
        <w:rPr>
          <w:rFonts w:ascii="Times New Roman" w:hAnsi="Times New Roman" w:cs="Times New Roman"/>
        </w:rPr>
        <w:t xml:space="preserve">.- Estos cuadros van actualizándose en </w:t>
      </w:r>
      <w:hyperlink r:id="rId7" w:history="1">
        <w:r w:rsidRPr="003A5178">
          <w:rPr>
            <w:rStyle w:val="Hipervnculo"/>
            <w:rFonts w:ascii="Times New Roman" w:hAnsi="Times New Roman" w:cs="Times New Roman"/>
          </w:rPr>
          <w:t>www.oviedonotaria.com</w:t>
        </w:r>
      </w:hyperlink>
    </w:p>
    <w:p w14:paraId="4D28262B" w14:textId="77777777" w:rsidR="00F85F55" w:rsidRPr="003A5178" w:rsidRDefault="00F85F55" w:rsidP="00F85F55">
      <w:pPr>
        <w:rPr>
          <w:rFonts w:ascii="Times New Roman" w:hAnsi="Times New Roman" w:cs="Times New Roman"/>
        </w:rPr>
      </w:pPr>
    </w:p>
    <w:p w14:paraId="030AEA96" w14:textId="77777777" w:rsidR="00F85F55" w:rsidRPr="003A5178" w:rsidRDefault="00F85F55" w:rsidP="00F85F55">
      <w:pPr>
        <w:rPr>
          <w:rFonts w:ascii="Times New Roman" w:hAnsi="Times New Roman" w:cs="Times New Roman"/>
        </w:rPr>
      </w:pPr>
    </w:p>
    <w:p w14:paraId="54D63630" w14:textId="0FD8E105" w:rsidR="00F85F55" w:rsidRPr="003A5178" w:rsidRDefault="003A5178" w:rsidP="00F85F55">
      <w:pPr>
        <w:numPr>
          <w:ilvl w:val="0"/>
          <w:numId w:val="2"/>
        </w:numPr>
        <w:spacing w:after="120" w:line="240" w:lineRule="auto"/>
        <w:ind w:left="357" w:hanging="357"/>
        <w:jc w:val="both"/>
        <w:rPr>
          <w:rFonts w:ascii="Times New Roman" w:hAnsi="Times New Roman" w:cs="Times New Roman"/>
        </w:rPr>
      </w:pPr>
      <w:hyperlink w:anchor="ANÁLISIS" w:history="1">
        <w:r w:rsidRPr="00421908">
          <w:rPr>
            <w:rStyle w:val="Hipervnculo"/>
            <w:rFonts w:ascii="Times New Roman" w:hAnsi="Times New Roman" w:cs="Times New Roman"/>
          </w:rPr>
          <w:t>ANÁLISIS</w:t>
        </w:r>
      </w:hyperlink>
      <w:r w:rsidR="00F85F55" w:rsidRPr="003A5178">
        <w:rPr>
          <w:rFonts w:ascii="Times New Roman" w:hAnsi="Times New Roman" w:cs="Times New Roman"/>
        </w:rPr>
        <w:t>: vigor</w:t>
      </w:r>
      <w:r>
        <w:rPr>
          <w:rFonts w:ascii="Times New Roman" w:hAnsi="Times New Roman" w:cs="Times New Roman"/>
        </w:rPr>
        <w:t xml:space="preserve">, finalidad, efectos, adquirentes afectados 1 </w:t>
      </w:r>
      <w:r w:rsidR="00301FEB">
        <w:rPr>
          <w:rFonts w:ascii="Times New Roman" w:hAnsi="Times New Roman" w:cs="Times New Roman"/>
        </w:rPr>
        <w:t>por dedicación</w:t>
      </w:r>
      <w:r>
        <w:rPr>
          <w:rFonts w:ascii="Times New Roman" w:hAnsi="Times New Roman" w:cs="Times New Roman"/>
        </w:rPr>
        <w:t>, adquirentes afectados 2 p</w:t>
      </w:r>
      <w:r w:rsidR="00631D2D">
        <w:rPr>
          <w:rFonts w:ascii="Times New Roman" w:hAnsi="Times New Roman" w:cs="Times New Roman"/>
        </w:rPr>
        <w:t>or tenencia</w:t>
      </w:r>
      <w:r>
        <w:rPr>
          <w:rFonts w:ascii="Times New Roman" w:hAnsi="Times New Roman" w:cs="Times New Roman"/>
        </w:rPr>
        <w:t>, objeto, tipos de adquisición</w:t>
      </w:r>
      <w:r w:rsidR="00AB1AB4">
        <w:rPr>
          <w:rFonts w:ascii="Times New Roman" w:hAnsi="Times New Roman" w:cs="Times New Roman"/>
        </w:rPr>
        <w:t xml:space="preserve"> onerosas o gratuitas</w:t>
      </w:r>
      <w:r>
        <w:rPr>
          <w:rFonts w:ascii="Times New Roman" w:hAnsi="Times New Roman" w:cs="Times New Roman"/>
        </w:rPr>
        <w:t>, excepción de la contraprestación</w:t>
      </w:r>
    </w:p>
    <w:p w14:paraId="38E9A409" w14:textId="4E869698" w:rsidR="00F85F55" w:rsidRDefault="00F85F55" w:rsidP="00F85F55">
      <w:pPr>
        <w:numPr>
          <w:ilvl w:val="0"/>
          <w:numId w:val="2"/>
        </w:numPr>
        <w:spacing w:after="120" w:line="240" w:lineRule="auto"/>
        <w:ind w:left="357" w:hanging="357"/>
        <w:jc w:val="both"/>
        <w:rPr>
          <w:rFonts w:ascii="Times New Roman" w:hAnsi="Times New Roman" w:cs="Times New Roman"/>
        </w:rPr>
      </w:pPr>
      <w:hyperlink w:anchor="PROCEDIMIENTO" w:history="1">
        <w:r w:rsidRPr="004645D3">
          <w:rPr>
            <w:rStyle w:val="Hipervnculo"/>
            <w:rFonts w:ascii="Times New Roman" w:hAnsi="Times New Roman" w:cs="Times New Roman"/>
          </w:rPr>
          <w:t>PRO</w:t>
        </w:r>
        <w:r w:rsidR="003A5178" w:rsidRPr="004645D3">
          <w:rPr>
            <w:rStyle w:val="Hipervnculo"/>
            <w:rFonts w:ascii="Times New Roman" w:hAnsi="Times New Roman" w:cs="Times New Roman"/>
          </w:rPr>
          <w:t>CEDIMIENTO NOTARIAL</w:t>
        </w:r>
      </w:hyperlink>
      <w:r w:rsidRPr="003A5178">
        <w:rPr>
          <w:rFonts w:ascii="Times New Roman" w:hAnsi="Times New Roman" w:cs="Times New Roman"/>
        </w:rPr>
        <w:t>:</w:t>
      </w:r>
      <w:r w:rsidR="003A5178">
        <w:rPr>
          <w:rFonts w:ascii="Times New Roman" w:hAnsi="Times New Roman" w:cs="Times New Roman"/>
        </w:rPr>
        <w:t xml:space="preserve"> supuesto habitual</w:t>
      </w:r>
      <w:r w:rsidR="00AB2AA4">
        <w:rPr>
          <w:rFonts w:ascii="Times New Roman" w:hAnsi="Times New Roman" w:cs="Times New Roman"/>
        </w:rPr>
        <w:t xml:space="preserve"> (fondos buitres y sociedades urracas)</w:t>
      </w:r>
      <w:r w:rsidR="003A5178">
        <w:rPr>
          <w:rFonts w:ascii="Times New Roman" w:hAnsi="Times New Roman" w:cs="Times New Roman"/>
        </w:rPr>
        <w:t xml:space="preserve">, </w:t>
      </w:r>
      <w:r w:rsidR="00F37543">
        <w:rPr>
          <w:rFonts w:ascii="Times New Roman" w:hAnsi="Times New Roman" w:cs="Times New Roman"/>
        </w:rPr>
        <w:t xml:space="preserve">acreditación de que no se es adquirente por dedicación, </w:t>
      </w:r>
      <w:r w:rsidR="003A5178">
        <w:rPr>
          <w:rFonts w:ascii="Times New Roman" w:hAnsi="Times New Roman" w:cs="Times New Roman"/>
        </w:rPr>
        <w:t>documentación para acreditar que no es gran tenedor, d</w:t>
      </w:r>
      <w:r w:rsidR="003A5178" w:rsidRPr="003A5178">
        <w:rPr>
          <w:rFonts w:ascii="Times New Roman" w:hAnsi="Times New Roman" w:cs="Times New Roman"/>
        </w:rPr>
        <w:t>ocumentación para acreditar que la contraprestación no es inferior al 70% del valor de tasación</w:t>
      </w:r>
      <w:r w:rsidR="003A5178">
        <w:rPr>
          <w:rFonts w:ascii="Times New Roman" w:hAnsi="Times New Roman" w:cs="Times New Roman"/>
        </w:rPr>
        <w:t xml:space="preserve">, </w:t>
      </w:r>
      <w:r w:rsidR="00980E36">
        <w:rPr>
          <w:rFonts w:ascii="Times New Roman" w:hAnsi="Times New Roman" w:cs="Times New Roman"/>
        </w:rPr>
        <w:t>acreditación excepciones</w:t>
      </w:r>
    </w:p>
    <w:p w14:paraId="58C92F3A" w14:textId="180C1169" w:rsidR="00864B0D" w:rsidRPr="003A5178" w:rsidRDefault="00864B0D" w:rsidP="00F85F55">
      <w:pPr>
        <w:numPr>
          <w:ilvl w:val="0"/>
          <w:numId w:val="2"/>
        </w:numPr>
        <w:spacing w:after="120" w:line="240" w:lineRule="auto"/>
        <w:ind w:left="357" w:hanging="357"/>
        <w:jc w:val="both"/>
        <w:rPr>
          <w:rFonts w:ascii="Times New Roman" w:hAnsi="Times New Roman" w:cs="Times New Roman"/>
        </w:rPr>
      </w:pPr>
      <w:hyperlink w:anchor="MODELOS" w:history="1">
        <w:r w:rsidRPr="0036215A">
          <w:rPr>
            <w:rStyle w:val="Hipervnculo"/>
            <w:rFonts w:ascii="Times New Roman" w:hAnsi="Times New Roman" w:cs="Times New Roman"/>
          </w:rPr>
          <w:t>MODELOS NOTARIALES</w:t>
        </w:r>
      </w:hyperlink>
      <w:r>
        <w:rPr>
          <w:rFonts w:ascii="Times New Roman" w:hAnsi="Times New Roman" w:cs="Times New Roman"/>
        </w:rPr>
        <w:t xml:space="preserve">: </w:t>
      </w:r>
      <w:r w:rsidR="0036215A">
        <w:rPr>
          <w:rFonts w:ascii="Times New Roman" w:hAnsi="Times New Roman" w:cs="Times New Roman"/>
        </w:rPr>
        <w:t>no gran tenedor (certificación registral), sí o no gran tenedor (certificado tasación)</w:t>
      </w:r>
      <w:r w:rsidR="00696248">
        <w:rPr>
          <w:rFonts w:ascii="Times New Roman" w:hAnsi="Times New Roman" w:cs="Times New Roman"/>
        </w:rPr>
        <w:t>, vivienda no en estado de uso, excepciones de los arts. 1-2 y 1-4</w:t>
      </w:r>
    </w:p>
    <w:p w14:paraId="7646BA85" w14:textId="2692DC65" w:rsidR="00F85F55" w:rsidRDefault="008D3377" w:rsidP="00F85F55">
      <w:pPr>
        <w:numPr>
          <w:ilvl w:val="0"/>
          <w:numId w:val="2"/>
        </w:numPr>
        <w:spacing w:after="120" w:line="240" w:lineRule="auto"/>
        <w:ind w:left="357" w:hanging="357"/>
        <w:jc w:val="both"/>
        <w:rPr>
          <w:rFonts w:ascii="Times New Roman" w:hAnsi="Times New Roman" w:cs="Times New Roman"/>
        </w:rPr>
      </w:pPr>
      <w:hyperlink w:anchor="SANCIÓN" w:history="1">
        <w:r w:rsidRPr="00FA5685">
          <w:rPr>
            <w:rStyle w:val="Hipervnculo"/>
            <w:rFonts w:ascii="Times New Roman" w:hAnsi="Times New Roman" w:cs="Times New Roman"/>
          </w:rPr>
          <w:t>SANCIÓN Y ACREDITACIÓN</w:t>
        </w:r>
      </w:hyperlink>
      <w:r w:rsidR="00F85F55" w:rsidRPr="003A5178">
        <w:rPr>
          <w:rFonts w:ascii="Times New Roman" w:hAnsi="Times New Roman" w:cs="Times New Roman"/>
        </w:rPr>
        <w:t xml:space="preserve">: </w:t>
      </w:r>
      <w:r w:rsidR="00172624">
        <w:rPr>
          <w:rFonts w:ascii="Times New Roman" w:hAnsi="Times New Roman" w:cs="Times New Roman"/>
        </w:rPr>
        <w:t>c</w:t>
      </w:r>
      <w:r>
        <w:rPr>
          <w:rFonts w:ascii="Times New Roman" w:hAnsi="Times New Roman" w:cs="Times New Roman"/>
        </w:rPr>
        <w:t>lase de ineficacia y sanciones</w:t>
      </w:r>
      <w:r w:rsidR="009555C0">
        <w:rPr>
          <w:rFonts w:ascii="Times New Roman" w:hAnsi="Times New Roman" w:cs="Times New Roman"/>
        </w:rPr>
        <w:t xml:space="preserve"> (notarios y registradores)</w:t>
      </w:r>
      <w:r>
        <w:rPr>
          <w:rFonts w:ascii="Times New Roman" w:hAnsi="Times New Roman" w:cs="Times New Roman"/>
        </w:rPr>
        <w:t>, certificación registral, certificación catastral sustitutiva o complementaria, manifestación sustitutiva</w:t>
      </w:r>
      <w:r w:rsidR="00A468F5">
        <w:rPr>
          <w:rFonts w:ascii="Times New Roman" w:hAnsi="Times New Roman" w:cs="Times New Roman"/>
        </w:rPr>
        <w:t>,</w:t>
      </w:r>
      <w:r>
        <w:rPr>
          <w:rFonts w:ascii="Times New Roman" w:hAnsi="Times New Roman" w:cs="Times New Roman"/>
        </w:rPr>
        <w:t xml:space="preserve"> condici</w:t>
      </w:r>
      <w:r w:rsidR="00AB1AB4">
        <w:rPr>
          <w:rFonts w:ascii="Times New Roman" w:hAnsi="Times New Roman" w:cs="Times New Roman"/>
        </w:rPr>
        <w:t>ones</w:t>
      </w:r>
      <w:r>
        <w:rPr>
          <w:rFonts w:ascii="Times New Roman" w:hAnsi="Times New Roman" w:cs="Times New Roman"/>
        </w:rPr>
        <w:t xml:space="preserve"> suspensiva</w:t>
      </w:r>
      <w:r w:rsidR="00AB1AB4">
        <w:rPr>
          <w:rFonts w:ascii="Times New Roman" w:hAnsi="Times New Roman" w:cs="Times New Roman"/>
        </w:rPr>
        <w:t>s de acreditación y de cumplimiento</w:t>
      </w:r>
    </w:p>
    <w:p w14:paraId="126E6493" w14:textId="4059F03B" w:rsidR="00F85F55" w:rsidRDefault="00172624" w:rsidP="00F85F55">
      <w:pPr>
        <w:numPr>
          <w:ilvl w:val="0"/>
          <w:numId w:val="2"/>
        </w:numPr>
        <w:spacing w:after="120" w:line="240" w:lineRule="auto"/>
        <w:ind w:left="357" w:hanging="357"/>
        <w:jc w:val="both"/>
        <w:rPr>
          <w:rFonts w:ascii="Times New Roman" w:hAnsi="Times New Roman" w:cs="Times New Roman"/>
        </w:rPr>
      </w:pPr>
      <w:hyperlink w:anchor="NEGOCIOS" w:history="1">
        <w:r w:rsidRPr="00B23506">
          <w:rPr>
            <w:rStyle w:val="Hipervnculo"/>
            <w:rFonts w:ascii="Times New Roman" w:hAnsi="Times New Roman" w:cs="Times New Roman"/>
          </w:rPr>
          <w:t>NEGOCI</w:t>
        </w:r>
        <w:r w:rsidRPr="00B23506">
          <w:rPr>
            <w:rStyle w:val="Hipervnculo"/>
            <w:rFonts w:ascii="Times New Roman" w:hAnsi="Times New Roman" w:cs="Times New Roman"/>
          </w:rPr>
          <w:t>O</w:t>
        </w:r>
        <w:r w:rsidRPr="00B23506">
          <w:rPr>
            <w:rStyle w:val="Hipervnculo"/>
            <w:rFonts w:ascii="Times New Roman" w:hAnsi="Times New Roman" w:cs="Times New Roman"/>
          </w:rPr>
          <w:t>S DISCUTIDOS</w:t>
        </w:r>
      </w:hyperlink>
      <w:r w:rsidR="00F85F55" w:rsidRPr="003A5178">
        <w:rPr>
          <w:rFonts w:ascii="Times New Roman" w:hAnsi="Times New Roman" w:cs="Times New Roman"/>
        </w:rPr>
        <w:t xml:space="preserve">: </w:t>
      </w:r>
      <w:r>
        <w:rPr>
          <w:rFonts w:ascii="Times New Roman" w:hAnsi="Times New Roman" w:cs="Times New Roman"/>
        </w:rPr>
        <w:t>adquisición simultánea, adquisición mortis causa,</w:t>
      </w:r>
      <w:r w:rsidR="00F357DC">
        <w:rPr>
          <w:rFonts w:ascii="Times New Roman" w:hAnsi="Times New Roman" w:cs="Times New Roman"/>
        </w:rPr>
        <w:t xml:space="preserve"> división de comunidades,</w:t>
      </w:r>
      <w:r>
        <w:rPr>
          <w:rFonts w:ascii="Times New Roman" w:hAnsi="Times New Roman" w:cs="Times New Roman"/>
        </w:rPr>
        <w:t xml:space="preserve"> aportaciones sociales, permutas, </w:t>
      </w:r>
      <w:r w:rsidR="00DB3CA0">
        <w:rPr>
          <w:rFonts w:ascii="Times New Roman" w:hAnsi="Times New Roman" w:cs="Times New Roman"/>
        </w:rPr>
        <w:t>transmisiones entre sociedades</w:t>
      </w:r>
      <w:r w:rsidR="00B16CDC">
        <w:rPr>
          <w:rFonts w:ascii="Times New Roman" w:hAnsi="Times New Roman" w:cs="Times New Roman"/>
        </w:rPr>
        <w:t>, fusiones, escisiones y cesiones globales</w:t>
      </w:r>
    </w:p>
    <w:p w14:paraId="713B16CD" w14:textId="3974FD7C" w:rsidR="00067FC9" w:rsidRPr="003A5178" w:rsidRDefault="00067FC9" w:rsidP="00F85F55">
      <w:pPr>
        <w:numPr>
          <w:ilvl w:val="0"/>
          <w:numId w:val="2"/>
        </w:numPr>
        <w:spacing w:after="120" w:line="240" w:lineRule="auto"/>
        <w:ind w:left="357" w:hanging="357"/>
        <w:jc w:val="both"/>
        <w:rPr>
          <w:rFonts w:ascii="Times New Roman" w:hAnsi="Times New Roman" w:cs="Times New Roman"/>
        </w:rPr>
      </w:pPr>
      <w:hyperlink w:anchor="OBJETOS" w:history="1">
        <w:r w:rsidRPr="00A34FE9">
          <w:rPr>
            <w:rStyle w:val="Hipervnculo"/>
            <w:rFonts w:ascii="Times New Roman" w:hAnsi="Times New Roman" w:cs="Times New Roman"/>
          </w:rPr>
          <w:t>OBJETOS Y MOMENTOS DISCUTIDOS</w:t>
        </w:r>
      </w:hyperlink>
      <w:r>
        <w:rPr>
          <w:rFonts w:ascii="Times New Roman" w:hAnsi="Times New Roman" w:cs="Times New Roman"/>
        </w:rPr>
        <w:t xml:space="preserve">: nuda propiedad y usufructo, </w:t>
      </w:r>
      <w:r w:rsidR="008E0FE6">
        <w:rPr>
          <w:rFonts w:ascii="Times New Roman" w:hAnsi="Times New Roman" w:cs="Times New Roman"/>
        </w:rPr>
        <w:t xml:space="preserve">participaciones indivisas, </w:t>
      </w:r>
      <w:r>
        <w:rPr>
          <w:rFonts w:ascii="Times New Roman" w:hAnsi="Times New Roman" w:cs="Times New Roman"/>
        </w:rPr>
        <w:t>documentos privados con fecha fehaciente, precontratos y opciones, ejecuciones, cesiones de créditos hipotecarios</w:t>
      </w:r>
      <w:r w:rsidR="005F6C80">
        <w:rPr>
          <w:rFonts w:ascii="Times New Roman" w:hAnsi="Times New Roman" w:cs="Times New Roman"/>
        </w:rPr>
        <w:t>, zonas tensionadas</w:t>
      </w:r>
      <w:r w:rsidR="004101DA">
        <w:rPr>
          <w:rFonts w:ascii="Times New Roman" w:hAnsi="Times New Roman" w:cs="Times New Roman"/>
        </w:rPr>
        <w:t xml:space="preserve"> (Asturias</w:t>
      </w:r>
      <w:r w:rsidR="007327A8">
        <w:rPr>
          <w:rFonts w:ascii="Times New Roman" w:hAnsi="Times New Roman" w:cs="Times New Roman"/>
        </w:rPr>
        <w:t>, Andalucía</w:t>
      </w:r>
      <w:r w:rsidR="004101DA">
        <w:rPr>
          <w:rFonts w:ascii="Times New Roman" w:hAnsi="Times New Roman" w:cs="Times New Roman"/>
        </w:rPr>
        <w:t>)</w:t>
      </w:r>
    </w:p>
    <w:p w14:paraId="5761A47B" w14:textId="0456ED2B" w:rsidR="00F85F55" w:rsidRPr="003A5178" w:rsidRDefault="00F85F55">
      <w:pPr>
        <w:rPr>
          <w:rFonts w:ascii="Times New Roman" w:hAnsi="Times New Roman" w:cs="Times New Roman"/>
        </w:rPr>
      </w:pPr>
      <w:r w:rsidRPr="003A5178">
        <w:rPr>
          <w:rFonts w:ascii="Times New Roman" w:hAnsi="Times New Roman" w:cs="Times New Roman"/>
        </w:rPr>
        <w:br w:type="page"/>
      </w:r>
    </w:p>
    <w:p w14:paraId="15D544FE" w14:textId="77777777" w:rsidR="000C6AAE" w:rsidRDefault="000C6AA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FA04B7" w:rsidRPr="000E48AA" w14:paraId="59E03637" w14:textId="77777777" w:rsidTr="009D2F93">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684C803B" w14:textId="70E3347D" w:rsidR="00FA04B7" w:rsidRPr="00B93DCD" w:rsidRDefault="00BC188C" w:rsidP="00963114">
            <w:pPr>
              <w:spacing w:before="60" w:after="60" w:line="240" w:lineRule="exact"/>
              <w:jc w:val="center"/>
              <w:rPr>
                <w:rFonts w:ascii="Times New Roman" w:eastAsia="Times New Roman" w:hAnsi="Times New Roman" w:cs="Times New Roman"/>
                <w:b/>
                <w:color w:val="000000"/>
                <w:sz w:val="24"/>
                <w:szCs w:val="24"/>
                <w:lang w:eastAsia="es-ES"/>
              </w:rPr>
            </w:pPr>
            <w:r w:rsidRPr="00B93DCD">
              <w:rPr>
                <w:rFonts w:ascii="Times New Roman" w:eastAsia="Times New Roman" w:hAnsi="Times New Roman" w:cs="Times New Roman"/>
                <w:b/>
                <w:color w:val="000000"/>
                <w:sz w:val="24"/>
                <w:szCs w:val="24"/>
                <w:lang w:eastAsia="es-ES"/>
              </w:rPr>
              <w:t xml:space="preserve">1. </w:t>
            </w:r>
            <w:hyperlink r:id="rId8" w:history="1">
              <w:r w:rsidR="00105ED7" w:rsidRPr="00B93DCD">
                <w:rPr>
                  <w:rStyle w:val="Hipervnculo"/>
                  <w:rFonts w:ascii="Times New Roman" w:eastAsia="Times New Roman" w:hAnsi="Times New Roman" w:cs="Times New Roman"/>
                  <w:b/>
                  <w:sz w:val="24"/>
                  <w:szCs w:val="24"/>
                  <w:lang w:eastAsia="es-ES"/>
                </w:rPr>
                <w:t>ARTÍCULO 1 DL 29/2026</w:t>
              </w:r>
            </w:hyperlink>
            <w:r w:rsidR="00A34E58" w:rsidRPr="00B93DCD">
              <w:rPr>
                <w:sz w:val="24"/>
                <w:szCs w:val="24"/>
              </w:rPr>
              <w:t xml:space="preserve">. </w:t>
            </w:r>
            <w:bookmarkStart w:id="1" w:name="ANÁLISIS"/>
            <w:bookmarkEnd w:id="1"/>
            <w:r w:rsidR="00A34E58" w:rsidRPr="00B93DCD">
              <w:rPr>
                <w:rFonts w:ascii="Times New Roman" w:hAnsi="Times New Roman" w:cs="Times New Roman"/>
                <w:b/>
                <w:sz w:val="24"/>
                <w:szCs w:val="24"/>
              </w:rPr>
              <w:t>ANÁLISIS</w:t>
            </w:r>
          </w:p>
        </w:tc>
      </w:tr>
      <w:tr w:rsidR="00105ED7" w:rsidRPr="000E48AA" w14:paraId="03B52862" w14:textId="77777777" w:rsidTr="00AF11DD">
        <w:trPr>
          <w:trHeight w:val="269"/>
          <w:jc w:val="center"/>
        </w:trPr>
        <w:tc>
          <w:tcPr>
            <w:tcW w:w="1678" w:type="dxa"/>
            <w:vMerge w:val="restart"/>
            <w:tcBorders>
              <w:top w:val="single" w:sz="12" w:space="0" w:color="auto"/>
              <w:left w:val="single" w:sz="18" w:space="0" w:color="auto"/>
              <w:right w:val="single" w:sz="12" w:space="0" w:color="auto"/>
            </w:tcBorders>
            <w:vAlign w:val="center"/>
          </w:tcPr>
          <w:p w14:paraId="131FA07C" w14:textId="77777777" w:rsidR="00105ED7" w:rsidRDefault="00105ED7" w:rsidP="0063290C">
            <w:pPr>
              <w:spacing w:before="20" w:after="60" w:line="200" w:lineRule="exact"/>
              <w:jc w:val="center"/>
              <w:rPr>
                <w:rFonts w:ascii="Times New Roman" w:eastAsia="Times New Roman" w:hAnsi="Times New Roman" w:cs="Times New Roman"/>
                <w:b/>
                <w:lang w:eastAsia="es-ES"/>
              </w:rPr>
            </w:pPr>
            <w:r w:rsidRPr="00A95E6A">
              <w:rPr>
                <w:rFonts w:ascii="Times New Roman" w:eastAsia="Times New Roman" w:hAnsi="Times New Roman" w:cs="Times New Roman"/>
                <w:b/>
                <w:lang w:eastAsia="es-ES"/>
              </w:rPr>
              <w:t>Vigor</w:t>
            </w:r>
          </w:p>
          <w:p w14:paraId="4BDBACD0" w14:textId="2759899E" w:rsidR="00A34E58" w:rsidRPr="00A34E58" w:rsidRDefault="00A34E58" w:rsidP="0063290C">
            <w:pPr>
              <w:spacing w:before="20" w:after="60" w:line="200" w:lineRule="exact"/>
              <w:jc w:val="center"/>
              <w:rPr>
                <w:rFonts w:ascii="Times New Roman" w:eastAsia="Times New Roman" w:hAnsi="Times New Roman" w:cs="Times New Roman"/>
                <w:lang w:eastAsia="es-ES"/>
              </w:rPr>
            </w:pPr>
            <w:r w:rsidRPr="00A34E58">
              <w:rPr>
                <w:rFonts w:ascii="Times New Roman" w:eastAsia="Times New Roman" w:hAnsi="Times New Roman" w:cs="Times New Roman"/>
                <w:color w:val="000000"/>
                <w:sz w:val="20"/>
                <w:szCs w:val="20"/>
                <w:lang w:eastAsia="es-ES"/>
              </w:rPr>
              <w:t>BOE 07/10/2026</w:t>
            </w:r>
          </w:p>
        </w:tc>
        <w:tc>
          <w:tcPr>
            <w:tcW w:w="5810" w:type="dxa"/>
            <w:tcBorders>
              <w:top w:val="single" w:sz="12" w:space="0" w:color="auto"/>
              <w:left w:val="single" w:sz="12" w:space="0" w:color="auto"/>
              <w:right w:val="single" w:sz="18" w:space="0" w:color="auto"/>
            </w:tcBorders>
            <w:vAlign w:val="center"/>
          </w:tcPr>
          <w:p w14:paraId="16E90017" w14:textId="3FCD4CC4" w:rsidR="00105ED7" w:rsidRPr="00105ED7" w:rsidRDefault="00105ED7" w:rsidP="00105ED7">
            <w:pPr>
              <w:spacing w:before="60" w:after="20" w:line="200" w:lineRule="exact"/>
              <w:jc w:val="center"/>
              <w:rPr>
                <w:rFonts w:ascii="Times New Roman" w:eastAsia="Times New Roman" w:hAnsi="Times New Roman" w:cs="Times New Roman"/>
                <w:lang w:eastAsia="es-ES"/>
              </w:rPr>
            </w:pPr>
            <w:r>
              <w:rPr>
                <w:rFonts w:ascii="Times New Roman" w:eastAsia="Times New Roman" w:hAnsi="Times New Roman" w:cs="Times New Roman"/>
                <w:lang w:eastAsia="es-ES"/>
              </w:rPr>
              <w:t>Entrada en vigor el jueves 08/10/2026</w:t>
            </w:r>
          </w:p>
        </w:tc>
      </w:tr>
      <w:tr w:rsidR="00105ED7" w:rsidRPr="000E48AA" w14:paraId="199704DB" w14:textId="77777777" w:rsidTr="00AF11DD">
        <w:trPr>
          <w:trHeight w:val="269"/>
          <w:jc w:val="center"/>
        </w:trPr>
        <w:tc>
          <w:tcPr>
            <w:tcW w:w="1678" w:type="dxa"/>
            <w:vMerge/>
            <w:tcBorders>
              <w:left w:val="single" w:sz="18" w:space="0" w:color="auto"/>
              <w:bottom w:val="single" w:sz="12" w:space="0" w:color="auto"/>
              <w:right w:val="single" w:sz="12" w:space="0" w:color="auto"/>
            </w:tcBorders>
            <w:vAlign w:val="center"/>
          </w:tcPr>
          <w:p w14:paraId="689293EA" w14:textId="77777777" w:rsidR="00105ED7" w:rsidRDefault="00105ED7" w:rsidP="0063290C">
            <w:pPr>
              <w:spacing w:before="20" w:after="60" w:line="200" w:lineRule="exact"/>
              <w:jc w:val="center"/>
              <w:rPr>
                <w:rFonts w:ascii="Times New Roman" w:eastAsia="Times New Roman" w:hAnsi="Times New Roman" w:cs="Times New Roman"/>
                <w:lang w:eastAsia="es-ES"/>
              </w:rPr>
            </w:pPr>
          </w:p>
        </w:tc>
        <w:tc>
          <w:tcPr>
            <w:tcW w:w="5810" w:type="dxa"/>
            <w:tcBorders>
              <w:top w:val="single" w:sz="4" w:space="0" w:color="auto"/>
              <w:left w:val="single" w:sz="12" w:space="0" w:color="auto"/>
              <w:bottom w:val="single" w:sz="12" w:space="0" w:color="auto"/>
              <w:right w:val="single" w:sz="18" w:space="0" w:color="auto"/>
            </w:tcBorders>
            <w:vAlign w:val="center"/>
          </w:tcPr>
          <w:p w14:paraId="5A41639B" w14:textId="6A09C0CF" w:rsidR="00105ED7" w:rsidRDefault="00105ED7" w:rsidP="00105ED7">
            <w:pPr>
              <w:spacing w:before="20" w:after="60" w:line="160" w:lineRule="exact"/>
              <w:jc w:val="center"/>
              <w:rPr>
                <w:rFonts w:ascii="Times New Roman" w:eastAsia="Times New Roman" w:hAnsi="Times New Roman" w:cs="Times New Roman"/>
                <w:lang w:eastAsia="es-ES"/>
              </w:rPr>
            </w:pPr>
            <w:r w:rsidRPr="00105ED7">
              <w:rPr>
                <w:rFonts w:ascii="Times New Roman" w:hAnsi="Times New Roman" w:cs="Times New Roman"/>
                <w:sz w:val="16"/>
                <w:szCs w:val="16"/>
              </w:rPr>
              <w:t xml:space="preserve">Sustituye al </w:t>
            </w:r>
            <w:hyperlink r:id="rId9" w:history="1">
              <w:r w:rsidRPr="00105ED7">
                <w:rPr>
                  <w:rStyle w:val="Hipervnculo"/>
                  <w:rFonts w:ascii="Times New Roman" w:eastAsia="Times New Roman" w:hAnsi="Times New Roman" w:cs="Times New Roman"/>
                  <w:b/>
                  <w:sz w:val="16"/>
                  <w:szCs w:val="16"/>
                  <w:lang w:eastAsia="es-ES"/>
                </w:rPr>
                <w:t>art. 1 DL 26/2026</w:t>
              </w:r>
            </w:hyperlink>
            <w:r w:rsidRPr="00105ED7">
              <w:rPr>
                <w:rFonts w:ascii="Times New Roman" w:hAnsi="Times New Roman" w:cs="Times New Roman"/>
                <w:sz w:val="16"/>
                <w:szCs w:val="16"/>
              </w:rPr>
              <w:t xml:space="preserve"> </w:t>
            </w:r>
            <w:r w:rsidRPr="00105ED7">
              <w:rPr>
                <w:rFonts w:ascii="Times New Roman" w:eastAsia="Times New Roman" w:hAnsi="Times New Roman" w:cs="Times New Roman"/>
                <w:color w:val="000000"/>
                <w:sz w:val="16"/>
                <w:szCs w:val="16"/>
                <w:lang w:eastAsia="es-ES"/>
              </w:rPr>
              <w:t xml:space="preserve">(BOE 30/09/2026, en vigor desde el 01/10/2026), que </w:t>
            </w:r>
            <w:hyperlink r:id="rId10" w:history="1">
              <w:r w:rsidRPr="00105ED7">
                <w:rPr>
                  <w:rStyle w:val="Hipervnculo"/>
                  <w:rFonts w:ascii="Times New Roman" w:eastAsia="Times New Roman" w:hAnsi="Times New Roman" w:cs="Times New Roman"/>
                  <w:sz w:val="16"/>
                  <w:szCs w:val="16"/>
                  <w:lang w:eastAsia="es-ES"/>
                </w:rPr>
                <w:t>fue derogado el 02/10/2026 al no ser convalidado por el Congreso</w:t>
              </w:r>
            </w:hyperlink>
          </w:p>
        </w:tc>
      </w:tr>
      <w:tr w:rsidR="007E7F3B" w:rsidRPr="000E48AA" w14:paraId="4B828FCA" w14:textId="77777777" w:rsidTr="00AF11DD">
        <w:trPr>
          <w:trHeight w:val="378"/>
          <w:jc w:val="center"/>
        </w:trPr>
        <w:tc>
          <w:tcPr>
            <w:tcW w:w="1678"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244F2B56" w14:textId="16176457" w:rsidR="007E7F3B" w:rsidRPr="007E7F3B" w:rsidRDefault="007E7F3B" w:rsidP="00A52090">
            <w:pPr>
              <w:spacing w:before="60" w:after="60" w:line="240" w:lineRule="auto"/>
              <w:jc w:val="center"/>
              <w:rPr>
                <w:rFonts w:ascii="Times New Roman" w:eastAsia="Times New Roman" w:hAnsi="Times New Roman" w:cs="Times New Roman"/>
                <w:b/>
                <w:lang w:eastAsia="es-ES"/>
              </w:rPr>
            </w:pPr>
            <w:r w:rsidRPr="007E7F3B">
              <w:rPr>
                <w:rFonts w:ascii="Times New Roman" w:eastAsia="Times New Roman" w:hAnsi="Times New Roman" w:cs="Times New Roman"/>
                <w:b/>
                <w:lang w:eastAsia="es-ES"/>
              </w:rPr>
              <w:t>Finalidad</w:t>
            </w:r>
          </w:p>
        </w:tc>
        <w:tc>
          <w:tcPr>
            <w:tcW w:w="5810"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0C3E424F" w14:textId="55F738C8" w:rsidR="007E7F3B" w:rsidRPr="00553969" w:rsidRDefault="00553969" w:rsidP="00AF11DD">
            <w:pPr>
              <w:spacing w:before="60" w:after="60" w:line="180" w:lineRule="exact"/>
              <w:jc w:val="center"/>
              <w:rPr>
                <w:rFonts w:ascii="Times New Roman" w:eastAsia="Times New Roman" w:hAnsi="Times New Roman" w:cs="Times New Roman"/>
                <w:sz w:val="18"/>
                <w:szCs w:val="18"/>
                <w:lang w:eastAsia="es-ES"/>
              </w:rPr>
            </w:pPr>
            <w:r w:rsidRPr="00553969">
              <w:rPr>
                <w:rFonts w:ascii="Times New Roman" w:eastAsia="Times New Roman" w:hAnsi="Times New Roman" w:cs="Times New Roman"/>
                <w:color w:val="000000"/>
                <w:sz w:val="18"/>
                <w:szCs w:val="18"/>
                <w:lang w:eastAsia="es-ES"/>
              </w:rPr>
              <w:t>Independientemente de la consideración que merezca la génesis de la norma y su formulación, s</w:t>
            </w:r>
            <w:r w:rsidR="007E7F3B" w:rsidRPr="00553969">
              <w:rPr>
                <w:rFonts w:ascii="Times New Roman" w:eastAsia="Times New Roman" w:hAnsi="Times New Roman" w:cs="Times New Roman"/>
                <w:color w:val="000000"/>
                <w:sz w:val="18"/>
                <w:szCs w:val="18"/>
                <w:lang w:eastAsia="es-ES"/>
              </w:rPr>
              <w:t>egún su propio epígrafe,</w:t>
            </w:r>
            <w:r w:rsidRPr="00553969">
              <w:rPr>
                <w:rFonts w:ascii="Times New Roman" w:eastAsia="Times New Roman" w:hAnsi="Times New Roman" w:cs="Times New Roman"/>
                <w:color w:val="000000"/>
                <w:sz w:val="18"/>
                <w:szCs w:val="18"/>
                <w:lang w:eastAsia="es-ES"/>
              </w:rPr>
              <w:t xml:space="preserve"> la finalidad es la</w:t>
            </w:r>
            <w:r w:rsidR="007E7F3B" w:rsidRPr="00553969">
              <w:rPr>
                <w:rFonts w:ascii="Times New Roman" w:eastAsia="Times New Roman" w:hAnsi="Times New Roman" w:cs="Times New Roman"/>
                <w:color w:val="000000"/>
                <w:sz w:val="18"/>
                <w:szCs w:val="18"/>
                <w:lang w:eastAsia="es-ES"/>
              </w:rPr>
              <w:t xml:space="preserve"> “</w:t>
            </w:r>
            <w:r w:rsidR="007E7F3B" w:rsidRPr="00553969">
              <w:rPr>
                <w:rFonts w:ascii="Times New Roman" w:eastAsia="Times New Roman" w:hAnsi="Times New Roman" w:cs="Times New Roman"/>
                <w:i/>
                <w:iCs/>
                <w:color w:val="000000"/>
                <w:sz w:val="18"/>
                <w:szCs w:val="18"/>
                <w:lang w:eastAsia="es-ES"/>
              </w:rPr>
              <w:t>protección del mercado de la vivienda frente a la actividad especulativa</w:t>
            </w:r>
            <w:r w:rsidR="007E7F3B" w:rsidRPr="00553969">
              <w:rPr>
                <w:rFonts w:ascii="Times New Roman" w:eastAsia="Times New Roman" w:hAnsi="Times New Roman" w:cs="Times New Roman"/>
                <w:color w:val="000000"/>
                <w:sz w:val="18"/>
                <w:szCs w:val="18"/>
                <w:lang w:eastAsia="es-ES"/>
              </w:rPr>
              <w:t>”</w:t>
            </w:r>
          </w:p>
        </w:tc>
      </w:tr>
      <w:tr w:rsidR="00DC42FC" w:rsidRPr="000E48AA" w14:paraId="07ED7F24" w14:textId="77777777" w:rsidTr="00AF11DD">
        <w:trPr>
          <w:trHeight w:val="105"/>
          <w:jc w:val="center"/>
        </w:trPr>
        <w:tc>
          <w:tcPr>
            <w:tcW w:w="1678" w:type="dxa"/>
            <w:vMerge w:val="restart"/>
            <w:tcBorders>
              <w:top w:val="single" w:sz="12" w:space="0" w:color="auto"/>
              <w:left w:val="single" w:sz="18" w:space="0" w:color="auto"/>
              <w:right w:val="single" w:sz="12" w:space="0" w:color="auto"/>
            </w:tcBorders>
            <w:vAlign w:val="center"/>
          </w:tcPr>
          <w:p w14:paraId="4D55C88E" w14:textId="77777777" w:rsidR="00DC42FC" w:rsidRDefault="00DC42FC" w:rsidP="00DC42FC">
            <w:pPr>
              <w:spacing w:before="60" w:after="40" w:line="240" w:lineRule="auto"/>
              <w:jc w:val="center"/>
              <w:rPr>
                <w:rFonts w:ascii="Times New Roman" w:eastAsia="Times New Roman" w:hAnsi="Times New Roman" w:cs="Times New Roman"/>
                <w:b/>
                <w:lang w:eastAsia="es-ES"/>
              </w:rPr>
            </w:pPr>
            <w:r w:rsidRPr="00EB34B8">
              <w:rPr>
                <w:rFonts w:ascii="Times New Roman" w:eastAsia="Times New Roman" w:hAnsi="Times New Roman" w:cs="Times New Roman"/>
                <w:b/>
                <w:lang w:eastAsia="es-ES"/>
              </w:rPr>
              <w:t>Efectos</w:t>
            </w:r>
          </w:p>
          <w:p w14:paraId="04429266" w14:textId="12790225" w:rsidR="00DC42FC" w:rsidRPr="00AF11DD" w:rsidRDefault="00DC42FC" w:rsidP="00AF11DD">
            <w:pPr>
              <w:spacing w:before="60" w:after="60" w:line="160" w:lineRule="exact"/>
              <w:jc w:val="center"/>
              <w:rPr>
                <w:rFonts w:ascii="Times New Roman" w:eastAsia="Times New Roman" w:hAnsi="Times New Roman" w:cs="Times New Roman"/>
                <w:sz w:val="16"/>
                <w:szCs w:val="16"/>
                <w:lang w:eastAsia="es-ES"/>
              </w:rPr>
            </w:pPr>
            <w:r w:rsidRPr="00AF11DD">
              <w:rPr>
                <w:rFonts w:ascii="Times New Roman" w:eastAsia="Times New Roman" w:hAnsi="Times New Roman" w:cs="Times New Roman"/>
                <w:sz w:val="16"/>
                <w:szCs w:val="16"/>
                <w:lang w:eastAsia="es-ES"/>
              </w:rPr>
              <w:t>DL 26/2026</w:t>
            </w:r>
            <w:r>
              <w:rPr>
                <w:rFonts w:ascii="Times New Roman" w:eastAsia="Times New Roman" w:hAnsi="Times New Roman" w:cs="Times New Roman"/>
                <w:sz w:val="16"/>
                <w:szCs w:val="16"/>
                <w:lang w:eastAsia="es-ES"/>
              </w:rPr>
              <w:t>:</w:t>
            </w:r>
            <w:r w:rsidRPr="00AF11DD">
              <w:rPr>
                <w:rFonts w:ascii="Times New Roman" w:eastAsia="Times New Roman" w:hAnsi="Times New Roman" w:cs="Times New Roman"/>
                <w:sz w:val="16"/>
                <w:szCs w:val="16"/>
                <w:lang w:eastAsia="es-ES"/>
              </w:rPr>
              <w:t xml:space="preserve"> la limitación era hasta el 31/12/2028</w:t>
            </w:r>
          </w:p>
        </w:tc>
        <w:tc>
          <w:tcPr>
            <w:tcW w:w="5810" w:type="dxa"/>
            <w:tcBorders>
              <w:top w:val="single" w:sz="12" w:space="0" w:color="auto"/>
              <w:left w:val="single" w:sz="12" w:space="0" w:color="auto"/>
              <w:right w:val="single" w:sz="18" w:space="0" w:color="auto"/>
            </w:tcBorders>
            <w:vAlign w:val="center"/>
          </w:tcPr>
          <w:p w14:paraId="2464E0AF" w14:textId="77777777" w:rsidR="00112B97" w:rsidRPr="00112B97" w:rsidRDefault="00DC42FC" w:rsidP="00112B97">
            <w:pPr>
              <w:spacing w:before="60" w:after="0" w:line="180" w:lineRule="exact"/>
              <w:jc w:val="center"/>
              <w:rPr>
                <w:rFonts w:ascii="Times New Roman" w:eastAsia="Times New Roman" w:hAnsi="Times New Roman" w:cs="Times New Roman"/>
                <w:sz w:val="20"/>
                <w:szCs w:val="20"/>
                <w:lang w:eastAsia="es-ES"/>
              </w:rPr>
            </w:pPr>
            <w:r w:rsidRPr="00112B97">
              <w:rPr>
                <w:rFonts w:ascii="Times New Roman" w:eastAsia="Times New Roman" w:hAnsi="Times New Roman" w:cs="Times New Roman"/>
                <w:sz w:val="20"/>
                <w:szCs w:val="20"/>
                <w:lang w:eastAsia="es-ES"/>
              </w:rPr>
              <w:t>Limitación de ciertas adquisiciones hasta el 31/12/2030</w:t>
            </w:r>
            <w:r w:rsidR="00112B97" w:rsidRPr="00112B97">
              <w:rPr>
                <w:rFonts w:ascii="Times New Roman" w:eastAsia="Times New Roman" w:hAnsi="Times New Roman" w:cs="Times New Roman"/>
                <w:sz w:val="20"/>
                <w:szCs w:val="20"/>
                <w:lang w:eastAsia="es-ES"/>
              </w:rPr>
              <w:t>,</w:t>
            </w:r>
          </w:p>
          <w:p w14:paraId="08F707A8" w14:textId="100ED743" w:rsidR="00DC42FC" w:rsidRDefault="00112B97" w:rsidP="00112B97">
            <w:pPr>
              <w:spacing w:after="20" w:line="180" w:lineRule="exact"/>
              <w:jc w:val="center"/>
              <w:rPr>
                <w:rFonts w:ascii="Times New Roman" w:eastAsia="Times New Roman" w:hAnsi="Times New Roman" w:cs="Times New Roman"/>
                <w:lang w:eastAsia="es-ES"/>
              </w:rPr>
            </w:pPr>
            <w:r w:rsidRPr="00112B97">
              <w:rPr>
                <w:rFonts w:ascii="Times New Roman" w:eastAsia="Times New Roman" w:hAnsi="Times New Roman" w:cs="Times New Roman"/>
                <w:sz w:val="20"/>
                <w:szCs w:val="20"/>
                <w:lang w:eastAsia="es-ES"/>
              </w:rPr>
              <w:t>con excepciones en función del destino social</w:t>
            </w:r>
          </w:p>
        </w:tc>
      </w:tr>
      <w:tr w:rsidR="00DC42FC" w:rsidRPr="000E48AA" w14:paraId="1B86A941" w14:textId="77777777" w:rsidTr="00AF11DD">
        <w:trPr>
          <w:trHeight w:val="250"/>
          <w:jc w:val="center"/>
        </w:trPr>
        <w:tc>
          <w:tcPr>
            <w:tcW w:w="1678" w:type="dxa"/>
            <w:vMerge/>
            <w:tcBorders>
              <w:left w:val="single" w:sz="18" w:space="0" w:color="auto"/>
              <w:right w:val="single" w:sz="12" w:space="0" w:color="auto"/>
            </w:tcBorders>
            <w:vAlign w:val="center"/>
          </w:tcPr>
          <w:p w14:paraId="71ED1D74" w14:textId="77777777" w:rsidR="00DC42FC" w:rsidRPr="00EB34B8" w:rsidRDefault="00DC42FC" w:rsidP="00A52090">
            <w:pPr>
              <w:spacing w:before="60" w:after="60" w:line="240" w:lineRule="auto"/>
              <w:jc w:val="center"/>
              <w:rPr>
                <w:rFonts w:ascii="Times New Roman" w:eastAsia="Times New Roman" w:hAnsi="Times New Roman" w:cs="Times New Roman"/>
                <w:b/>
                <w:lang w:eastAsia="es-ES"/>
              </w:rPr>
            </w:pPr>
          </w:p>
        </w:tc>
        <w:tc>
          <w:tcPr>
            <w:tcW w:w="5810" w:type="dxa"/>
            <w:tcBorders>
              <w:left w:val="single" w:sz="12" w:space="0" w:color="auto"/>
              <w:right w:val="single" w:sz="18" w:space="0" w:color="auto"/>
            </w:tcBorders>
            <w:vAlign w:val="center"/>
          </w:tcPr>
          <w:p w14:paraId="308FE666" w14:textId="73FAF92B" w:rsidR="00DC42FC" w:rsidRPr="00EB34B8" w:rsidRDefault="00DC42FC" w:rsidP="00AF3D25">
            <w:pPr>
              <w:spacing w:before="20" w:after="20" w:line="180" w:lineRule="exact"/>
              <w:jc w:val="center"/>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No afecta a la escritura otorgada antes y pendiente de inscripción, pero sin que pueda “</w:t>
            </w:r>
            <w:r w:rsidRPr="00DC42FC">
              <w:rPr>
                <w:rFonts w:ascii="Times New Roman" w:eastAsia="Times New Roman" w:hAnsi="Times New Roman" w:cs="Times New Roman"/>
                <w:i/>
                <w:iCs/>
                <w:sz w:val="18"/>
                <w:szCs w:val="18"/>
                <w:lang w:eastAsia="es-ES"/>
              </w:rPr>
              <w:t>ser modificada o ampliada mediante adenda</w:t>
            </w:r>
            <w:r>
              <w:rPr>
                <w:rFonts w:ascii="Times New Roman" w:eastAsia="Times New Roman" w:hAnsi="Times New Roman" w:cs="Times New Roman"/>
                <w:sz w:val="18"/>
                <w:szCs w:val="18"/>
                <w:lang w:eastAsia="es-ES"/>
              </w:rPr>
              <w:t>”</w:t>
            </w:r>
          </w:p>
        </w:tc>
      </w:tr>
      <w:tr w:rsidR="00864B0D" w:rsidRPr="000E48AA" w14:paraId="4946CCA8" w14:textId="77777777" w:rsidTr="00864B0D">
        <w:trPr>
          <w:trHeight w:val="520"/>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6B269F38" w14:textId="77777777" w:rsidR="00864B0D" w:rsidRDefault="00864B0D" w:rsidP="00D90A89">
            <w:pPr>
              <w:spacing w:before="60" w:after="0" w:line="200" w:lineRule="exact"/>
              <w:jc w:val="center"/>
              <w:rPr>
                <w:rFonts w:ascii="Times New Roman" w:eastAsia="Times New Roman" w:hAnsi="Times New Roman" w:cs="Times New Roman"/>
                <w:b/>
                <w:lang w:eastAsia="es-ES"/>
              </w:rPr>
            </w:pPr>
            <w:r w:rsidRPr="00D90A89">
              <w:rPr>
                <w:rFonts w:ascii="Times New Roman" w:eastAsia="Times New Roman" w:hAnsi="Times New Roman" w:cs="Times New Roman"/>
                <w:b/>
                <w:lang w:eastAsia="es-ES"/>
              </w:rPr>
              <w:t>Adquirentes afectados</w:t>
            </w:r>
            <w:r>
              <w:rPr>
                <w:rFonts w:ascii="Times New Roman" w:eastAsia="Times New Roman" w:hAnsi="Times New Roman" w:cs="Times New Roman"/>
                <w:b/>
                <w:lang w:eastAsia="es-ES"/>
              </w:rPr>
              <w:t xml:space="preserve"> 1</w:t>
            </w:r>
            <w:r w:rsidRPr="00D90A89">
              <w:rPr>
                <w:rFonts w:ascii="Times New Roman" w:eastAsia="Times New Roman" w:hAnsi="Times New Roman" w:cs="Times New Roman"/>
                <w:b/>
                <w:lang w:eastAsia="es-ES"/>
              </w:rPr>
              <w:t xml:space="preserve">: </w:t>
            </w:r>
          </w:p>
          <w:p w14:paraId="73AB4F4C" w14:textId="659AB89E" w:rsidR="00864B0D" w:rsidRPr="00864B0D" w:rsidRDefault="00864B0D" w:rsidP="00864B0D">
            <w:pPr>
              <w:spacing w:after="4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por dedicación</w:t>
            </w:r>
          </w:p>
        </w:tc>
        <w:tc>
          <w:tcPr>
            <w:tcW w:w="5810" w:type="dxa"/>
            <w:tcBorders>
              <w:top w:val="single" w:sz="12" w:space="0" w:color="auto"/>
              <w:left w:val="single" w:sz="12" w:space="0" w:color="auto"/>
              <w:right w:val="single" w:sz="18" w:space="0" w:color="auto"/>
            </w:tcBorders>
            <w:shd w:val="clear" w:color="auto" w:fill="E7E6E6" w:themeFill="background2"/>
            <w:vAlign w:val="center"/>
          </w:tcPr>
          <w:p w14:paraId="0F15C1BA" w14:textId="77777777" w:rsidR="00864B0D" w:rsidRDefault="00864B0D" w:rsidP="00F85F55">
            <w:pPr>
              <w:spacing w:before="60" w:after="20" w:line="180" w:lineRule="exact"/>
              <w:jc w:val="center"/>
              <w:rPr>
                <w:rFonts w:ascii="Times New Roman" w:eastAsia="Times New Roman" w:hAnsi="Times New Roman" w:cs="Times New Roman"/>
                <w:sz w:val="20"/>
                <w:szCs w:val="20"/>
                <w:lang w:eastAsia="es-ES"/>
              </w:rPr>
            </w:pPr>
            <w:r w:rsidRPr="00F85F55">
              <w:rPr>
                <w:rFonts w:ascii="Times New Roman" w:eastAsia="Times New Roman" w:hAnsi="Times New Roman" w:cs="Times New Roman"/>
                <w:sz w:val="20"/>
                <w:szCs w:val="20"/>
                <w:lang w:eastAsia="es-ES"/>
              </w:rPr>
              <w:t>“</w:t>
            </w:r>
            <w:r w:rsidRPr="00F85F55">
              <w:rPr>
                <w:rFonts w:ascii="Times New Roman" w:eastAsia="Times New Roman" w:hAnsi="Times New Roman" w:cs="Times New Roman"/>
                <w:i/>
                <w:iCs/>
                <w:sz w:val="20"/>
                <w:szCs w:val="20"/>
                <w:lang w:eastAsia="es-ES"/>
              </w:rPr>
              <w:t>toda entidad con o sin personalidad jurídica dedicada a adquirir inmuebles o carteras de préstamo hipotecarios impagados por un precio claramente inferior a su valor de tasación de mercado</w:t>
            </w:r>
            <w:r w:rsidRPr="00F85F55">
              <w:rPr>
                <w:rFonts w:ascii="Times New Roman" w:eastAsia="Times New Roman" w:hAnsi="Times New Roman" w:cs="Times New Roman"/>
                <w:sz w:val="20"/>
                <w:szCs w:val="20"/>
                <w:lang w:eastAsia="es-ES"/>
              </w:rPr>
              <w:t>”</w:t>
            </w:r>
          </w:p>
          <w:p w14:paraId="0E0DFA44" w14:textId="4833FCF0" w:rsidR="00864B0D" w:rsidRPr="00F85F55" w:rsidRDefault="00864B0D" w:rsidP="00077729">
            <w:pPr>
              <w:spacing w:after="60" w:line="180" w:lineRule="exact"/>
              <w:jc w:val="center"/>
              <w:rPr>
                <w:rFonts w:ascii="Times New Roman" w:eastAsia="Times New Roman" w:hAnsi="Times New Roman" w:cs="Times New Roman"/>
                <w:sz w:val="20"/>
                <w:szCs w:val="20"/>
                <w:lang w:eastAsia="es-ES"/>
              </w:rPr>
            </w:pPr>
            <w:r w:rsidRPr="00764B4C">
              <w:rPr>
                <w:rFonts w:ascii="Times New Roman" w:eastAsia="Times New Roman" w:hAnsi="Times New Roman" w:cs="Times New Roman"/>
                <w:sz w:val="16"/>
                <w:szCs w:val="16"/>
                <w:lang w:eastAsia="es-ES"/>
              </w:rPr>
              <w:t xml:space="preserve">Ver APARTADO </w:t>
            </w:r>
            <w:r>
              <w:rPr>
                <w:rFonts w:ascii="Times New Roman" w:eastAsia="Times New Roman" w:hAnsi="Times New Roman" w:cs="Times New Roman"/>
                <w:sz w:val="16"/>
                <w:szCs w:val="16"/>
                <w:lang w:eastAsia="es-ES"/>
              </w:rPr>
              <w:t>2</w:t>
            </w:r>
          </w:p>
        </w:tc>
      </w:tr>
      <w:tr w:rsidR="00864B0D" w:rsidRPr="000E48AA" w14:paraId="3D175EAF" w14:textId="77777777" w:rsidTr="00E0241C">
        <w:trPr>
          <w:trHeight w:val="298"/>
          <w:jc w:val="center"/>
        </w:trPr>
        <w:tc>
          <w:tcPr>
            <w:tcW w:w="1678" w:type="dxa"/>
            <w:vMerge/>
            <w:tcBorders>
              <w:left w:val="single" w:sz="18" w:space="0" w:color="auto"/>
              <w:right w:val="single" w:sz="12" w:space="0" w:color="auto"/>
            </w:tcBorders>
            <w:shd w:val="clear" w:color="auto" w:fill="E7E6E6" w:themeFill="background2"/>
            <w:vAlign w:val="center"/>
          </w:tcPr>
          <w:p w14:paraId="78A276E7" w14:textId="77777777" w:rsidR="00864B0D" w:rsidRPr="00D90A89" w:rsidRDefault="00864B0D" w:rsidP="00D90A89">
            <w:pPr>
              <w:spacing w:before="60" w:after="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right w:val="single" w:sz="18" w:space="0" w:color="auto"/>
            </w:tcBorders>
            <w:shd w:val="clear" w:color="auto" w:fill="E7E6E6" w:themeFill="background2"/>
            <w:vAlign w:val="center"/>
          </w:tcPr>
          <w:p w14:paraId="0BB86C17" w14:textId="74498DBD" w:rsidR="00864B0D" w:rsidRPr="00AF108D" w:rsidRDefault="00864B0D" w:rsidP="00AF108D">
            <w:pPr>
              <w:spacing w:before="20" w:after="60" w:line="180" w:lineRule="exact"/>
              <w:jc w:val="both"/>
              <w:rPr>
                <w:rFonts w:ascii="Times New Roman" w:eastAsia="Times New Roman" w:hAnsi="Times New Roman" w:cs="Times New Roman"/>
                <w:sz w:val="18"/>
                <w:szCs w:val="18"/>
                <w:lang w:eastAsia="es-ES"/>
              </w:rPr>
            </w:pPr>
            <w:r w:rsidRPr="00AF108D">
              <w:rPr>
                <w:rFonts w:ascii="Times New Roman" w:eastAsia="Times New Roman" w:hAnsi="Times New Roman" w:cs="Times New Roman"/>
                <w:sz w:val="18"/>
                <w:szCs w:val="18"/>
                <w:lang w:eastAsia="es-ES"/>
              </w:rPr>
              <w:t>DL 26/2026:</w:t>
            </w:r>
            <w:r w:rsidRPr="00AF108D">
              <w:rPr>
                <w:rFonts w:ascii="Times New Roman" w:hAnsi="Times New Roman" w:cs="Times New Roman"/>
                <w:sz w:val="18"/>
                <w:szCs w:val="18"/>
              </w:rPr>
              <w:t xml:space="preserve"> </w:t>
            </w:r>
            <w:r w:rsidRPr="00AF108D">
              <w:rPr>
                <w:rFonts w:ascii="Times New Roman" w:eastAsia="Times New Roman" w:hAnsi="Times New Roman" w:cs="Times New Roman"/>
                <w:sz w:val="18"/>
                <w:szCs w:val="18"/>
                <w:lang w:eastAsia="es-ES"/>
              </w:rPr>
              <w:t>hacía referencia a la inclusión en el objeto social de “</w:t>
            </w:r>
            <w:r w:rsidRPr="00AF108D">
              <w:rPr>
                <w:rFonts w:ascii="Times New Roman" w:eastAsia="Times New Roman" w:hAnsi="Times New Roman" w:cs="Times New Roman"/>
                <w:i/>
                <w:iCs/>
                <w:sz w:val="18"/>
                <w:szCs w:val="18"/>
                <w:lang w:eastAsia="es-ES"/>
              </w:rPr>
              <w:t>la adquisición de inmuebles</w:t>
            </w:r>
            <w:r w:rsidRPr="00AF108D">
              <w:rPr>
                <w:rFonts w:ascii="Times New Roman" w:eastAsia="Times New Roman" w:hAnsi="Times New Roman" w:cs="Times New Roman"/>
                <w:sz w:val="18"/>
                <w:szCs w:val="18"/>
                <w:lang w:eastAsia="es-ES"/>
              </w:rPr>
              <w:t>”</w:t>
            </w:r>
          </w:p>
        </w:tc>
      </w:tr>
      <w:tr w:rsidR="00BF25B3" w:rsidRPr="000E48AA" w14:paraId="5797EEF3" w14:textId="77777777" w:rsidTr="00AF11DD">
        <w:trPr>
          <w:trHeight w:val="201"/>
          <w:jc w:val="center"/>
        </w:trPr>
        <w:tc>
          <w:tcPr>
            <w:tcW w:w="1678" w:type="dxa"/>
            <w:vMerge w:val="restart"/>
            <w:tcBorders>
              <w:top w:val="single" w:sz="12" w:space="0" w:color="auto"/>
              <w:left w:val="single" w:sz="18" w:space="0" w:color="auto"/>
              <w:right w:val="single" w:sz="12" w:space="0" w:color="auto"/>
            </w:tcBorders>
            <w:vAlign w:val="center"/>
          </w:tcPr>
          <w:p w14:paraId="358D7D3E" w14:textId="77777777" w:rsidR="0000510F" w:rsidRDefault="00BF25B3" w:rsidP="0000510F">
            <w:pPr>
              <w:spacing w:before="60" w:after="0" w:line="180" w:lineRule="exact"/>
              <w:jc w:val="center"/>
              <w:rPr>
                <w:rFonts w:ascii="Times New Roman" w:eastAsia="Times New Roman" w:hAnsi="Times New Roman" w:cs="Times New Roman"/>
                <w:b/>
                <w:lang w:eastAsia="es-ES"/>
              </w:rPr>
            </w:pPr>
            <w:r w:rsidRPr="00D90A89">
              <w:rPr>
                <w:rFonts w:ascii="Times New Roman" w:eastAsia="Times New Roman" w:hAnsi="Times New Roman" w:cs="Times New Roman"/>
                <w:b/>
                <w:lang w:eastAsia="es-ES"/>
              </w:rPr>
              <w:t>Adquirentes afectados</w:t>
            </w:r>
            <w:r>
              <w:rPr>
                <w:rFonts w:ascii="Times New Roman" w:eastAsia="Times New Roman" w:hAnsi="Times New Roman" w:cs="Times New Roman"/>
                <w:b/>
                <w:lang w:eastAsia="es-ES"/>
              </w:rPr>
              <w:t xml:space="preserve"> 2</w:t>
            </w:r>
            <w:r w:rsidRPr="00D90A89">
              <w:rPr>
                <w:rFonts w:ascii="Times New Roman" w:eastAsia="Times New Roman" w:hAnsi="Times New Roman" w:cs="Times New Roman"/>
                <w:b/>
                <w:lang w:eastAsia="es-ES"/>
              </w:rPr>
              <w:t xml:space="preserve">: </w:t>
            </w:r>
          </w:p>
          <w:p w14:paraId="788677B7" w14:textId="603A3EF1" w:rsidR="00BF25B3" w:rsidRDefault="0000510F" w:rsidP="0000510F">
            <w:pPr>
              <w:spacing w:after="60" w:line="18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por tenencia</w:t>
            </w:r>
          </w:p>
          <w:p w14:paraId="28444239" w14:textId="7C610FDB" w:rsidR="00AF11DD" w:rsidRPr="00AF11DD" w:rsidRDefault="00AF11DD" w:rsidP="00AF11DD">
            <w:pPr>
              <w:spacing w:before="60" w:after="60" w:line="160" w:lineRule="exact"/>
              <w:jc w:val="center"/>
              <w:rPr>
                <w:rFonts w:ascii="Times New Roman" w:eastAsia="Times New Roman" w:hAnsi="Times New Roman" w:cs="Times New Roman"/>
                <w:b/>
                <w:sz w:val="16"/>
                <w:szCs w:val="16"/>
                <w:lang w:eastAsia="es-ES"/>
              </w:rPr>
            </w:pPr>
            <w:r w:rsidRPr="00AF11DD">
              <w:rPr>
                <w:rFonts w:ascii="Times New Roman" w:eastAsia="Times New Roman" w:hAnsi="Times New Roman" w:cs="Times New Roman"/>
                <w:sz w:val="16"/>
                <w:szCs w:val="16"/>
                <w:lang w:eastAsia="es-ES"/>
              </w:rPr>
              <w:t>DL 26/2026</w:t>
            </w:r>
            <w:r w:rsidR="00DC42FC">
              <w:rPr>
                <w:rFonts w:ascii="Times New Roman" w:eastAsia="Times New Roman" w:hAnsi="Times New Roman" w:cs="Times New Roman"/>
                <w:sz w:val="16"/>
                <w:szCs w:val="16"/>
                <w:lang w:eastAsia="es-ES"/>
              </w:rPr>
              <w:t>:</w:t>
            </w:r>
            <w:r w:rsidRPr="00AF11DD">
              <w:rPr>
                <w:rFonts w:ascii="Times New Roman" w:hAnsi="Times New Roman" w:cs="Times New Roman"/>
                <w:sz w:val="16"/>
                <w:szCs w:val="16"/>
              </w:rPr>
              <w:t xml:space="preserve"> n</w:t>
            </w:r>
            <w:r w:rsidRPr="00AF11DD">
              <w:rPr>
                <w:rFonts w:ascii="Times New Roman" w:eastAsia="Times New Roman" w:hAnsi="Times New Roman" w:cs="Times New Roman"/>
                <w:sz w:val="16"/>
                <w:szCs w:val="16"/>
                <w:lang w:eastAsia="es-ES"/>
              </w:rPr>
              <w:t>o hacía referencia a “grandes tenedores”</w:t>
            </w:r>
          </w:p>
          <w:p w14:paraId="1FAFA431" w14:textId="6B3183A1" w:rsidR="00AF11DD" w:rsidRPr="004046A6" w:rsidRDefault="00AF11DD" w:rsidP="004046A6">
            <w:pPr>
              <w:spacing w:before="60" w:after="60" w:line="180" w:lineRule="exact"/>
              <w:jc w:val="center"/>
              <w:rPr>
                <w:rFonts w:ascii="Times New Roman" w:eastAsia="Times New Roman" w:hAnsi="Times New Roman" w:cs="Times New Roman"/>
                <w:sz w:val="20"/>
                <w:szCs w:val="20"/>
                <w:lang w:eastAsia="es-ES"/>
              </w:rPr>
            </w:pPr>
          </w:p>
        </w:tc>
        <w:tc>
          <w:tcPr>
            <w:tcW w:w="5810" w:type="dxa"/>
            <w:tcBorders>
              <w:top w:val="single" w:sz="12" w:space="0" w:color="auto"/>
              <w:left w:val="single" w:sz="12" w:space="0" w:color="auto"/>
              <w:right w:val="single" w:sz="18" w:space="0" w:color="auto"/>
            </w:tcBorders>
            <w:vAlign w:val="center"/>
          </w:tcPr>
          <w:p w14:paraId="303AB754" w14:textId="2D9294A9" w:rsidR="00BF25B3" w:rsidRPr="00F85F55" w:rsidRDefault="00BF25B3" w:rsidP="00F85F55">
            <w:pPr>
              <w:spacing w:before="60" w:after="20" w:line="180" w:lineRule="exact"/>
              <w:jc w:val="center"/>
              <w:rPr>
                <w:rFonts w:ascii="Times New Roman" w:eastAsia="Times New Roman" w:hAnsi="Times New Roman" w:cs="Times New Roman"/>
                <w:sz w:val="20"/>
                <w:szCs w:val="20"/>
                <w:lang w:eastAsia="es-ES"/>
              </w:rPr>
            </w:pPr>
            <w:r w:rsidRPr="00F85F55">
              <w:rPr>
                <w:rFonts w:ascii="Times New Roman" w:eastAsia="Times New Roman" w:hAnsi="Times New Roman" w:cs="Times New Roman"/>
                <w:sz w:val="20"/>
                <w:szCs w:val="20"/>
                <w:lang w:eastAsia="es-ES"/>
              </w:rPr>
              <w:t>“</w:t>
            </w:r>
            <w:r w:rsidRPr="00F85F55">
              <w:rPr>
                <w:rFonts w:ascii="Times New Roman" w:eastAsia="Times New Roman" w:hAnsi="Times New Roman" w:cs="Times New Roman"/>
                <w:i/>
                <w:iCs/>
                <w:sz w:val="20"/>
                <w:szCs w:val="20"/>
                <w:lang w:eastAsia="es-ES"/>
              </w:rPr>
              <w:t>personas jurídicas que ostenten la condición de gran tenedor conforme a la legislación estatal de vivienda o las entidades integradas en su mismo grupo o que actúen por su cuenta</w:t>
            </w:r>
            <w:r w:rsidRPr="00F85F55">
              <w:rPr>
                <w:rFonts w:ascii="Times New Roman" w:eastAsia="Times New Roman" w:hAnsi="Times New Roman" w:cs="Times New Roman"/>
                <w:sz w:val="20"/>
                <w:szCs w:val="20"/>
                <w:lang w:eastAsia="es-ES"/>
              </w:rPr>
              <w:t>”</w:t>
            </w:r>
          </w:p>
        </w:tc>
      </w:tr>
      <w:tr w:rsidR="00BF25B3" w:rsidRPr="000E48AA" w14:paraId="6977D8ED" w14:textId="77777777" w:rsidTr="00AF11DD">
        <w:trPr>
          <w:trHeight w:val="200"/>
          <w:jc w:val="center"/>
        </w:trPr>
        <w:tc>
          <w:tcPr>
            <w:tcW w:w="1678" w:type="dxa"/>
            <w:vMerge/>
            <w:tcBorders>
              <w:left w:val="single" w:sz="18" w:space="0" w:color="auto"/>
              <w:right w:val="single" w:sz="12" w:space="0" w:color="auto"/>
            </w:tcBorders>
            <w:vAlign w:val="center"/>
          </w:tcPr>
          <w:p w14:paraId="490D3913" w14:textId="77777777" w:rsidR="00BF25B3" w:rsidRPr="00D90A89" w:rsidRDefault="00BF25B3" w:rsidP="004046A6">
            <w:pPr>
              <w:spacing w:before="60" w:after="60" w:line="180" w:lineRule="exact"/>
              <w:jc w:val="center"/>
              <w:rPr>
                <w:rFonts w:ascii="Times New Roman" w:eastAsia="Times New Roman" w:hAnsi="Times New Roman" w:cs="Times New Roman"/>
                <w:b/>
                <w:lang w:eastAsia="es-ES"/>
              </w:rPr>
            </w:pPr>
          </w:p>
        </w:tc>
        <w:tc>
          <w:tcPr>
            <w:tcW w:w="5810" w:type="dxa"/>
            <w:tcBorders>
              <w:left w:val="single" w:sz="12" w:space="0" w:color="auto"/>
              <w:right w:val="single" w:sz="18" w:space="0" w:color="auto"/>
            </w:tcBorders>
            <w:vAlign w:val="center"/>
          </w:tcPr>
          <w:p w14:paraId="1B5365DF" w14:textId="5B27F05E" w:rsidR="00BF25B3" w:rsidRPr="00453C51" w:rsidRDefault="000517F1" w:rsidP="000517F1">
            <w:pPr>
              <w:spacing w:before="20" w:after="20" w:line="180" w:lineRule="exact"/>
              <w:jc w:val="center"/>
              <w:rPr>
                <w:rFonts w:ascii="Times New Roman" w:eastAsia="Times New Roman" w:hAnsi="Times New Roman" w:cs="Times New Roman"/>
                <w:sz w:val="18"/>
                <w:szCs w:val="18"/>
                <w:lang w:eastAsia="es-ES"/>
              </w:rPr>
            </w:pPr>
            <w:r w:rsidRPr="00453C51">
              <w:rPr>
                <w:rFonts w:ascii="Times New Roman" w:eastAsia="Times New Roman" w:hAnsi="Times New Roman" w:cs="Times New Roman"/>
                <w:sz w:val="18"/>
                <w:szCs w:val="18"/>
                <w:lang w:eastAsia="es-ES"/>
              </w:rPr>
              <w:t xml:space="preserve">Según el </w:t>
            </w:r>
            <w:hyperlink r:id="rId11" w:anchor="a3" w:history="1">
              <w:r w:rsidRPr="00453C51">
                <w:rPr>
                  <w:rStyle w:val="Hipervnculo"/>
                  <w:rFonts w:ascii="Times New Roman" w:eastAsia="Times New Roman" w:hAnsi="Times New Roman" w:cs="Times New Roman"/>
                  <w:sz w:val="18"/>
                  <w:szCs w:val="18"/>
                  <w:lang w:eastAsia="es-ES"/>
                </w:rPr>
                <w:t>art. 3-k de la Ley 12/2023</w:t>
              </w:r>
            </w:hyperlink>
            <w:r w:rsidRPr="00453C51">
              <w:rPr>
                <w:rFonts w:ascii="Times New Roman" w:eastAsia="Times New Roman" w:hAnsi="Times New Roman" w:cs="Times New Roman"/>
                <w:sz w:val="18"/>
                <w:szCs w:val="18"/>
                <w:lang w:eastAsia="es-ES"/>
              </w:rPr>
              <w:t xml:space="preserve"> (modificada por el art. 4 del DL 29/2026) gran tenedor es la persona física o jurídica titular de más de 10 inmuebles</w:t>
            </w:r>
            <w:r w:rsidR="005F5F43" w:rsidRPr="00453C51">
              <w:rPr>
                <w:rFonts w:ascii="Times New Roman" w:eastAsia="Times New Roman" w:hAnsi="Times New Roman" w:cs="Times New Roman"/>
                <w:sz w:val="18"/>
                <w:szCs w:val="18"/>
                <w:lang w:eastAsia="es-ES"/>
              </w:rPr>
              <w:t xml:space="preserve"> urbanos</w:t>
            </w:r>
            <w:r w:rsidRPr="00453C51">
              <w:rPr>
                <w:rFonts w:ascii="Times New Roman" w:eastAsia="Times New Roman" w:hAnsi="Times New Roman" w:cs="Times New Roman"/>
                <w:sz w:val="18"/>
                <w:szCs w:val="18"/>
                <w:lang w:eastAsia="es-ES"/>
              </w:rPr>
              <w:t xml:space="preserve"> de uso residencial (haya o no división horizontal) o con superficie construida de más de 1.500 m2, sin contar garajes y trasteros</w:t>
            </w:r>
          </w:p>
        </w:tc>
      </w:tr>
      <w:tr w:rsidR="00917C5A" w:rsidRPr="000E48AA" w14:paraId="5B46CFB2" w14:textId="77777777" w:rsidTr="00AF11DD">
        <w:trPr>
          <w:trHeight w:val="200"/>
          <w:jc w:val="center"/>
        </w:trPr>
        <w:tc>
          <w:tcPr>
            <w:tcW w:w="1678" w:type="dxa"/>
            <w:vMerge/>
            <w:tcBorders>
              <w:left w:val="single" w:sz="18" w:space="0" w:color="auto"/>
              <w:right w:val="single" w:sz="12" w:space="0" w:color="auto"/>
            </w:tcBorders>
            <w:vAlign w:val="center"/>
          </w:tcPr>
          <w:p w14:paraId="60EDF277" w14:textId="77777777" w:rsidR="00917C5A" w:rsidRPr="00D90A89" w:rsidRDefault="00917C5A" w:rsidP="004046A6">
            <w:pPr>
              <w:spacing w:before="60" w:after="60" w:line="180" w:lineRule="exact"/>
              <w:jc w:val="center"/>
              <w:rPr>
                <w:rFonts w:ascii="Times New Roman" w:eastAsia="Times New Roman" w:hAnsi="Times New Roman" w:cs="Times New Roman"/>
                <w:b/>
                <w:lang w:eastAsia="es-ES"/>
              </w:rPr>
            </w:pPr>
          </w:p>
        </w:tc>
        <w:tc>
          <w:tcPr>
            <w:tcW w:w="5810" w:type="dxa"/>
            <w:tcBorders>
              <w:left w:val="single" w:sz="12" w:space="0" w:color="auto"/>
              <w:right w:val="single" w:sz="18" w:space="0" w:color="auto"/>
            </w:tcBorders>
            <w:vAlign w:val="center"/>
          </w:tcPr>
          <w:p w14:paraId="5C9DE400" w14:textId="77777777" w:rsidR="008456BB" w:rsidRDefault="008456BB" w:rsidP="009C3BE7">
            <w:pPr>
              <w:spacing w:before="40" w:after="2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C</w:t>
            </w:r>
            <w:r w:rsidR="00917C5A" w:rsidRPr="00D34370">
              <w:rPr>
                <w:rFonts w:ascii="Times New Roman" w:eastAsia="Times New Roman" w:hAnsi="Times New Roman" w:cs="Times New Roman"/>
                <w:sz w:val="20"/>
                <w:szCs w:val="20"/>
                <w:lang w:eastAsia="es-ES"/>
              </w:rPr>
              <w:t>uentan todas las viviendas en España, pero no en el extranjero</w:t>
            </w:r>
            <w:r w:rsidR="00D34370" w:rsidRPr="00D34370">
              <w:rPr>
                <w:rFonts w:ascii="Times New Roman" w:eastAsia="Times New Roman" w:hAnsi="Times New Roman" w:cs="Times New Roman"/>
                <w:sz w:val="20"/>
                <w:szCs w:val="20"/>
                <w:lang w:eastAsia="es-ES"/>
              </w:rPr>
              <w:t>.</w:t>
            </w:r>
          </w:p>
          <w:p w14:paraId="237BB120" w14:textId="7B499E70" w:rsidR="008456BB" w:rsidRPr="008456BB" w:rsidRDefault="00D34370" w:rsidP="008456BB">
            <w:pPr>
              <w:spacing w:after="20" w:line="180" w:lineRule="exact"/>
              <w:jc w:val="both"/>
              <w:rPr>
                <w:rFonts w:ascii="Times New Roman" w:hAnsi="Times New Roman" w:cs="Times New Roman"/>
                <w:sz w:val="20"/>
                <w:szCs w:val="20"/>
              </w:rPr>
            </w:pPr>
            <w:r w:rsidRPr="00D34370">
              <w:rPr>
                <w:rFonts w:ascii="Times New Roman" w:eastAsia="Times New Roman" w:hAnsi="Times New Roman" w:cs="Times New Roman"/>
                <w:sz w:val="20"/>
                <w:szCs w:val="20"/>
                <w:lang w:eastAsia="es-ES"/>
              </w:rPr>
              <w:t>Sin embargo</w:t>
            </w:r>
            <w:r w:rsidR="008456BB">
              <w:rPr>
                <w:rFonts w:ascii="Times New Roman" w:eastAsia="Times New Roman" w:hAnsi="Times New Roman" w:cs="Times New Roman"/>
                <w:sz w:val="20"/>
                <w:szCs w:val="20"/>
                <w:lang w:eastAsia="es-ES"/>
              </w:rPr>
              <w:t>,</w:t>
            </w:r>
            <w:r w:rsidRPr="00D34370">
              <w:rPr>
                <w:rFonts w:ascii="Times New Roman" w:eastAsia="Times New Roman" w:hAnsi="Times New Roman" w:cs="Times New Roman"/>
                <w:sz w:val="20"/>
                <w:szCs w:val="20"/>
                <w:lang w:eastAsia="es-ES"/>
              </w:rPr>
              <w:t xml:space="preserve"> el </w:t>
            </w:r>
            <w:hyperlink r:id="rId12" w:anchor="a3" w:history="1">
              <w:r w:rsidRPr="00D34370">
                <w:rPr>
                  <w:rStyle w:val="Hipervnculo"/>
                  <w:rFonts w:ascii="Times New Roman" w:eastAsia="Times New Roman" w:hAnsi="Times New Roman" w:cs="Times New Roman"/>
                  <w:sz w:val="20"/>
                  <w:szCs w:val="20"/>
                  <w:lang w:eastAsia="es-ES"/>
                </w:rPr>
                <w:t>art. 3-k de la Ley 12/2023</w:t>
              </w:r>
            </w:hyperlink>
            <w:r w:rsidRPr="00D34370">
              <w:rPr>
                <w:rFonts w:ascii="Times New Roman" w:hAnsi="Times New Roman" w:cs="Times New Roman"/>
                <w:sz w:val="20"/>
                <w:szCs w:val="20"/>
              </w:rPr>
              <w:t xml:space="preserve"> prevé que cada Comunidad Autónoma pueda bajar el listón a 5 o más viviendas </w:t>
            </w:r>
            <w:r w:rsidR="006124B9">
              <w:rPr>
                <w:rFonts w:ascii="Times New Roman" w:hAnsi="Times New Roman" w:cs="Times New Roman"/>
                <w:sz w:val="20"/>
                <w:szCs w:val="20"/>
              </w:rPr>
              <w:t xml:space="preserve">ubicadas </w:t>
            </w:r>
            <w:r w:rsidRPr="00D34370">
              <w:rPr>
                <w:rFonts w:ascii="Times New Roman" w:hAnsi="Times New Roman" w:cs="Times New Roman"/>
                <w:sz w:val="20"/>
                <w:szCs w:val="20"/>
              </w:rPr>
              <w:t>en las zonas que declare tensionadas</w:t>
            </w:r>
            <w:r w:rsidR="009C3BE7">
              <w:rPr>
                <w:rFonts w:ascii="Times New Roman" w:hAnsi="Times New Roman" w:cs="Times New Roman"/>
                <w:sz w:val="20"/>
                <w:szCs w:val="20"/>
              </w:rPr>
              <w:t>.</w:t>
            </w:r>
            <w:r w:rsidR="008456BB">
              <w:rPr>
                <w:rFonts w:ascii="Times New Roman" w:hAnsi="Times New Roman" w:cs="Times New Roman"/>
                <w:sz w:val="20"/>
                <w:szCs w:val="20"/>
              </w:rPr>
              <w:t xml:space="preserve"> </w:t>
            </w:r>
            <w:r w:rsidR="008456BB" w:rsidRPr="00764B4C">
              <w:rPr>
                <w:rFonts w:ascii="Times New Roman" w:eastAsia="Times New Roman" w:hAnsi="Times New Roman" w:cs="Times New Roman"/>
                <w:sz w:val="16"/>
                <w:szCs w:val="16"/>
                <w:lang w:eastAsia="es-ES"/>
              </w:rPr>
              <w:t xml:space="preserve">Ver APARTADO </w:t>
            </w:r>
            <w:r w:rsidR="0000510F">
              <w:rPr>
                <w:rFonts w:ascii="Times New Roman" w:eastAsia="Times New Roman" w:hAnsi="Times New Roman" w:cs="Times New Roman"/>
                <w:sz w:val="16"/>
                <w:szCs w:val="16"/>
                <w:lang w:eastAsia="es-ES"/>
              </w:rPr>
              <w:t>6</w:t>
            </w:r>
          </w:p>
        </w:tc>
      </w:tr>
      <w:tr w:rsidR="00BF25B3" w:rsidRPr="000E48AA" w14:paraId="7F346A96" w14:textId="77777777" w:rsidTr="00AF11DD">
        <w:trPr>
          <w:trHeight w:val="200"/>
          <w:jc w:val="center"/>
        </w:trPr>
        <w:tc>
          <w:tcPr>
            <w:tcW w:w="1678" w:type="dxa"/>
            <w:vMerge/>
            <w:tcBorders>
              <w:left w:val="single" w:sz="18" w:space="0" w:color="auto"/>
              <w:right w:val="single" w:sz="12" w:space="0" w:color="auto"/>
            </w:tcBorders>
            <w:vAlign w:val="center"/>
          </w:tcPr>
          <w:p w14:paraId="35C9EFCA" w14:textId="77777777" w:rsidR="00BF25B3" w:rsidRPr="00D90A89" w:rsidRDefault="00BF25B3" w:rsidP="004046A6">
            <w:pPr>
              <w:spacing w:before="60" w:after="60" w:line="180" w:lineRule="exact"/>
              <w:jc w:val="center"/>
              <w:rPr>
                <w:rFonts w:ascii="Times New Roman" w:eastAsia="Times New Roman" w:hAnsi="Times New Roman" w:cs="Times New Roman"/>
                <w:b/>
                <w:lang w:eastAsia="es-ES"/>
              </w:rPr>
            </w:pPr>
          </w:p>
        </w:tc>
        <w:tc>
          <w:tcPr>
            <w:tcW w:w="5810" w:type="dxa"/>
            <w:tcBorders>
              <w:left w:val="single" w:sz="12" w:space="0" w:color="auto"/>
              <w:bottom w:val="single" w:sz="2" w:space="0" w:color="auto"/>
              <w:right w:val="single" w:sz="18" w:space="0" w:color="auto"/>
            </w:tcBorders>
            <w:vAlign w:val="center"/>
          </w:tcPr>
          <w:p w14:paraId="28193CD6" w14:textId="77777777" w:rsidR="00BF25B3" w:rsidRDefault="000517F1" w:rsidP="001C0084">
            <w:pPr>
              <w:spacing w:before="60" w:after="0" w:line="180" w:lineRule="exact"/>
              <w:jc w:val="center"/>
              <w:rPr>
                <w:rFonts w:ascii="Times New Roman" w:eastAsia="Times New Roman" w:hAnsi="Times New Roman" w:cs="Times New Roman"/>
                <w:lang w:eastAsia="es-ES"/>
              </w:rPr>
            </w:pPr>
            <w:r w:rsidRPr="0091716F">
              <w:rPr>
                <w:rFonts w:ascii="Times New Roman" w:eastAsia="Times New Roman" w:hAnsi="Times New Roman" w:cs="Times New Roman"/>
                <w:lang w:eastAsia="es-ES"/>
              </w:rPr>
              <w:t>“</w:t>
            </w:r>
            <w:r w:rsidRPr="0091716F">
              <w:rPr>
                <w:rFonts w:ascii="Times New Roman" w:eastAsia="Times New Roman" w:hAnsi="Times New Roman" w:cs="Times New Roman"/>
                <w:i/>
                <w:iCs/>
                <w:lang w:eastAsia="es-ES"/>
              </w:rPr>
              <w:t>Dicha condición</w:t>
            </w:r>
            <w:r w:rsidRPr="0091716F">
              <w:rPr>
                <w:rFonts w:ascii="Times New Roman" w:eastAsia="Times New Roman" w:hAnsi="Times New Roman" w:cs="Times New Roman"/>
                <w:lang w:eastAsia="es-ES"/>
              </w:rPr>
              <w:t xml:space="preserve"> [de gran tenedor] </w:t>
            </w:r>
            <w:r w:rsidRPr="0091716F">
              <w:rPr>
                <w:rFonts w:ascii="Times New Roman" w:eastAsia="Times New Roman" w:hAnsi="Times New Roman" w:cs="Times New Roman"/>
                <w:i/>
                <w:iCs/>
                <w:lang w:eastAsia="es-ES"/>
              </w:rPr>
              <w:t>se deberá acreditar mediante certificación del Registro de la Propiedad en el que consten la relación de propiedades a su nombre</w:t>
            </w:r>
            <w:r w:rsidRPr="0091716F">
              <w:rPr>
                <w:rFonts w:ascii="Times New Roman" w:eastAsia="Times New Roman" w:hAnsi="Times New Roman" w:cs="Times New Roman"/>
                <w:lang w:eastAsia="es-ES"/>
              </w:rPr>
              <w:t>”</w:t>
            </w:r>
          </w:p>
          <w:p w14:paraId="1F00DD3F" w14:textId="65F3574D" w:rsidR="001C0084" w:rsidRPr="00764B4C" w:rsidRDefault="001C0084" w:rsidP="001C0084">
            <w:pPr>
              <w:spacing w:after="60" w:line="180" w:lineRule="exact"/>
              <w:jc w:val="center"/>
              <w:rPr>
                <w:rFonts w:ascii="Times New Roman" w:eastAsia="Times New Roman" w:hAnsi="Times New Roman" w:cs="Times New Roman"/>
                <w:sz w:val="16"/>
                <w:szCs w:val="16"/>
                <w:lang w:eastAsia="es-ES"/>
              </w:rPr>
            </w:pPr>
            <w:r w:rsidRPr="00764B4C">
              <w:rPr>
                <w:rFonts w:ascii="Times New Roman" w:eastAsia="Times New Roman" w:hAnsi="Times New Roman" w:cs="Times New Roman"/>
                <w:sz w:val="16"/>
                <w:szCs w:val="16"/>
                <w:lang w:eastAsia="es-ES"/>
              </w:rPr>
              <w:t xml:space="preserve">Ver APARTADO </w:t>
            </w:r>
            <w:r w:rsidR="0000510F">
              <w:rPr>
                <w:rFonts w:ascii="Times New Roman" w:eastAsia="Times New Roman" w:hAnsi="Times New Roman" w:cs="Times New Roman"/>
                <w:sz w:val="16"/>
                <w:szCs w:val="16"/>
                <w:lang w:eastAsia="es-ES"/>
              </w:rPr>
              <w:t>4</w:t>
            </w:r>
          </w:p>
        </w:tc>
      </w:tr>
      <w:tr w:rsidR="00EF1292" w:rsidRPr="000E48AA" w14:paraId="49A3F515" w14:textId="77777777" w:rsidTr="009956B5">
        <w:trPr>
          <w:trHeight w:val="134"/>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7834975C" w14:textId="23E0074C" w:rsidR="00EF1292" w:rsidRPr="00E56DD1" w:rsidRDefault="00EF1292" w:rsidP="00F45B3B">
            <w:pPr>
              <w:spacing w:before="60" w:after="60" w:line="200" w:lineRule="exact"/>
              <w:jc w:val="center"/>
              <w:rPr>
                <w:rFonts w:ascii="Times New Roman" w:eastAsia="Times New Roman" w:hAnsi="Times New Roman" w:cs="Times New Roman"/>
                <w:b/>
                <w:lang w:eastAsia="es-ES"/>
              </w:rPr>
            </w:pPr>
            <w:r w:rsidRPr="00E56DD1">
              <w:rPr>
                <w:rFonts w:ascii="Times New Roman" w:eastAsia="Times New Roman" w:hAnsi="Times New Roman" w:cs="Times New Roman"/>
                <w:b/>
                <w:lang w:eastAsia="es-ES"/>
              </w:rPr>
              <w:t>Objeto</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149F9857" w14:textId="7B3D5103" w:rsidR="00EF1292" w:rsidRPr="00E56DD1" w:rsidRDefault="00EF1292" w:rsidP="009956B5">
            <w:pPr>
              <w:spacing w:before="60" w:after="20" w:line="200" w:lineRule="exact"/>
              <w:jc w:val="center"/>
              <w:rPr>
                <w:rFonts w:ascii="Times New Roman" w:eastAsia="Times New Roman" w:hAnsi="Times New Roman" w:cs="Times New Roman"/>
                <w:lang w:eastAsia="es-ES"/>
              </w:rPr>
            </w:pPr>
            <w:r w:rsidRPr="00E56DD1">
              <w:rPr>
                <w:rFonts w:ascii="Times New Roman" w:eastAsia="Times New Roman" w:hAnsi="Times New Roman" w:cs="Times New Roman"/>
                <w:lang w:eastAsia="es-ES"/>
              </w:rPr>
              <w:t>“</w:t>
            </w:r>
            <w:r w:rsidRPr="00E56DD1">
              <w:rPr>
                <w:rFonts w:ascii="Times New Roman" w:eastAsia="Times New Roman" w:hAnsi="Times New Roman" w:cs="Times New Roman"/>
                <w:i/>
                <w:iCs/>
                <w:lang w:eastAsia="es-ES"/>
              </w:rPr>
              <w:t>viviendas en estado de uso</w:t>
            </w:r>
            <w:r w:rsidRPr="00E56DD1">
              <w:rPr>
                <w:rFonts w:ascii="Times New Roman" w:eastAsia="Times New Roman" w:hAnsi="Times New Roman" w:cs="Times New Roman"/>
                <w:lang w:eastAsia="es-ES"/>
              </w:rPr>
              <w:t>”</w:t>
            </w:r>
          </w:p>
        </w:tc>
      </w:tr>
      <w:tr w:rsidR="00EF1292" w:rsidRPr="000E48AA" w14:paraId="686905B4" w14:textId="77777777" w:rsidTr="00EF1292">
        <w:trPr>
          <w:trHeight w:val="482"/>
          <w:jc w:val="center"/>
        </w:trPr>
        <w:tc>
          <w:tcPr>
            <w:tcW w:w="1678" w:type="dxa"/>
            <w:vMerge/>
            <w:tcBorders>
              <w:left w:val="single" w:sz="18" w:space="0" w:color="auto"/>
              <w:right w:val="single" w:sz="12" w:space="0" w:color="auto"/>
            </w:tcBorders>
            <w:shd w:val="clear" w:color="auto" w:fill="E7E6E6" w:themeFill="background2"/>
            <w:vAlign w:val="center"/>
          </w:tcPr>
          <w:p w14:paraId="34B45A81" w14:textId="77777777" w:rsidR="00EF1292" w:rsidRPr="00E56DD1" w:rsidRDefault="00EF1292" w:rsidP="00F45B3B">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bottom w:val="single" w:sz="6" w:space="0" w:color="auto"/>
              <w:right w:val="single" w:sz="18" w:space="0" w:color="auto"/>
            </w:tcBorders>
            <w:shd w:val="clear" w:color="auto" w:fill="E7E6E6" w:themeFill="background2"/>
            <w:vAlign w:val="center"/>
          </w:tcPr>
          <w:p w14:paraId="0600D145" w14:textId="5B2F6AB5" w:rsidR="00EF1292" w:rsidRPr="009956B5" w:rsidRDefault="009956B5" w:rsidP="00F34EF2">
            <w:pPr>
              <w:spacing w:before="60" w:after="40" w:line="160" w:lineRule="exact"/>
              <w:jc w:val="center"/>
              <w:rPr>
                <w:rFonts w:ascii="Times New Roman" w:eastAsia="Times New Roman" w:hAnsi="Times New Roman" w:cs="Times New Roman"/>
                <w:sz w:val="18"/>
                <w:szCs w:val="18"/>
                <w:lang w:eastAsia="es-ES"/>
              </w:rPr>
            </w:pPr>
            <w:r w:rsidRPr="009956B5">
              <w:rPr>
                <w:rFonts w:ascii="Times New Roman" w:eastAsia="Times New Roman" w:hAnsi="Times New Roman" w:cs="Times New Roman"/>
                <w:sz w:val="18"/>
                <w:szCs w:val="18"/>
                <w:lang w:eastAsia="es-ES"/>
              </w:rPr>
              <w:t xml:space="preserve">También </w:t>
            </w:r>
            <w:r w:rsidR="00EF1292" w:rsidRPr="009956B5">
              <w:rPr>
                <w:rFonts w:ascii="Times New Roman" w:eastAsia="Times New Roman" w:hAnsi="Times New Roman" w:cs="Times New Roman"/>
                <w:sz w:val="18"/>
                <w:szCs w:val="18"/>
                <w:lang w:eastAsia="es-ES"/>
              </w:rPr>
              <w:t>“</w:t>
            </w:r>
            <w:r w:rsidR="00EF1292" w:rsidRPr="009956B5">
              <w:rPr>
                <w:rFonts w:ascii="Times New Roman" w:eastAsia="Times New Roman" w:hAnsi="Times New Roman" w:cs="Times New Roman"/>
                <w:i/>
                <w:iCs/>
                <w:sz w:val="18"/>
                <w:szCs w:val="18"/>
                <w:lang w:eastAsia="es-ES"/>
              </w:rPr>
              <w:t>viviendas de edificios construidos sobre suelo de calificación residencial que cumplan los requisitos para obtener la cédula de habitabilidad, desde que dispongan de certificado de fin de obra</w:t>
            </w:r>
            <w:r w:rsidR="00EF1292" w:rsidRPr="009956B5">
              <w:rPr>
                <w:rFonts w:ascii="Times New Roman" w:eastAsia="Times New Roman" w:hAnsi="Times New Roman" w:cs="Times New Roman"/>
                <w:sz w:val="18"/>
                <w:szCs w:val="18"/>
                <w:lang w:eastAsia="es-ES"/>
              </w:rPr>
              <w:t>”</w:t>
            </w:r>
          </w:p>
        </w:tc>
      </w:tr>
      <w:tr w:rsidR="00EF1292" w:rsidRPr="000E48AA" w14:paraId="497CA1D8" w14:textId="77777777" w:rsidTr="00AF11DD">
        <w:trPr>
          <w:trHeight w:val="532"/>
          <w:jc w:val="center"/>
        </w:trPr>
        <w:tc>
          <w:tcPr>
            <w:tcW w:w="1678" w:type="dxa"/>
            <w:vMerge/>
            <w:tcBorders>
              <w:left w:val="single" w:sz="18" w:space="0" w:color="auto"/>
              <w:right w:val="single" w:sz="12" w:space="0" w:color="auto"/>
            </w:tcBorders>
            <w:shd w:val="clear" w:color="auto" w:fill="E7E6E6" w:themeFill="background2"/>
            <w:vAlign w:val="center"/>
          </w:tcPr>
          <w:p w14:paraId="32D9A258" w14:textId="77777777" w:rsidR="00EF1292" w:rsidRPr="00E56DD1" w:rsidRDefault="00EF1292" w:rsidP="00F45B3B">
            <w:pPr>
              <w:spacing w:before="60" w:after="60" w:line="200" w:lineRule="exact"/>
              <w:jc w:val="center"/>
              <w:rPr>
                <w:rFonts w:ascii="Times New Roman" w:eastAsia="Times New Roman" w:hAnsi="Times New Roman" w:cs="Times New Roman"/>
                <w:b/>
                <w:lang w:eastAsia="es-ES"/>
              </w:rPr>
            </w:pPr>
          </w:p>
        </w:tc>
        <w:tc>
          <w:tcPr>
            <w:tcW w:w="5810" w:type="dxa"/>
            <w:tcBorders>
              <w:left w:val="single" w:sz="12" w:space="0" w:color="auto"/>
              <w:bottom w:val="single" w:sz="6" w:space="0" w:color="auto"/>
              <w:right w:val="single" w:sz="18" w:space="0" w:color="auto"/>
            </w:tcBorders>
            <w:shd w:val="clear" w:color="auto" w:fill="E7E6E6" w:themeFill="background2"/>
            <w:vAlign w:val="center"/>
          </w:tcPr>
          <w:p w14:paraId="5FA59411" w14:textId="44FB9C37" w:rsidR="00EF1292" w:rsidRPr="0091716F" w:rsidRDefault="00EF1292" w:rsidP="009956B5">
            <w:pPr>
              <w:spacing w:before="40" w:after="0" w:line="180" w:lineRule="exact"/>
              <w:jc w:val="both"/>
              <w:rPr>
                <w:rFonts w:ascii="Times New Roman" w:eastAsia="Times New Roman" w:hAnsi="Times New Roman" w:cs="Times New Roman"/>
                <w:sz w:val="20"/>
                <w:szCs w:val="20"/>
                <w:lang w:eastAsia="es-ES"/>
              </w:rPr>
            </w:pPr>
            <w:r w:rsidRPr="0091716F">
              <w:rPr>
                <w:rFonts w:ascii="Times New Roman" w:eastAsia="Times New Roman" w:hAnsi="Times New Roman" w:cs="Times New Roman"/>
                <w:sz w:val="20"/>
                <w:szCs w:val="20"/>
                <w:lang w:eastAsia="es-ES"/>
              </w:rPr>
              <w:t>¿Se refiere a viviendas “susceptibles de uso” o sólo a las viviendas “en uso efectivo por un tercero [normalmente un arrendatario]?</w:t>
            </w:r>
          </w:p>
          <w:p w14:paraId="6235EAC6" w14:textId="6E2E4330" w:rsidR="00EF1292" w:rsidRPr="00E56DD1" w:rsidRDefault="00EF1292" w:rsidP="009956B5">
            <w:pPr>
              <w:spacing w:after="20" w:line="180" w:lineRule="exact"/>
              <w:jc w:val="both"/>
              <w:rPr>
                <w:rFonts w:ascii="Times New Roman" w:eastAsia="Times New Roman" w:hAnsi="Times New Roman" w:cs="Times New Roman"/>
                <w:lang w:eastAsia="es-ES"/>
              </w:rPr>
            </w:pPr>
            <w:r w:rsidRPr="0091716F">
              <w:rPr>
                <w:rFonts w:ascii="Times New Roman" w:eastAsia="Times New Roman" w:hAnsi="Times New Roman" w:cs="Times New Roman"/>
                <w:sz w:val="20"/>
                <w:szCs w:val="20"/>
                <w:lang w:eastAsia="es-ES"/>
              </w:rPr>
              <w:t>Parece que a toda vivienda apta para el uso, pues en otro caso bastaría con la expresión “en uso” y así resulta del segundo supuesto referido a viviendas con certificado de fin de obra pero pendientes de cédula de habitabilidad, las cuales no deberían estar en uso efectivo.</w:t>
            </w:r>
          </w:p>
        </w:tc>
      </w:tr>
      <w:tr w:rsidR="00EF1292" w:rsidRPr="000E48AA" w14:paraId="2D140E1D" w14:textId="77777777" w:rsidTr="00AF11DD">
        <w:trPr>
          <w:trHeight w:val="532"/>
          <w:jc w:val="center"/>
        </w:trPr>
        <w:tc>
          <w:tcPr>
            <w:tcW w:w="1678" w:type="dxa"/>
            <w:vMerge/>
            <w:tcBorders>
              <w:left w:val="single" w:sz="18" w:space="0" w:color="auto"/>
              <w:bottom w:val="single" w:sz="12" w:space="0" w:color="auto"/>
              <w:right w:val="single" w:sz="12" w:space="0" w:color="auto"/>
            </w:tcBorders>
            <w:shd w:val="clear" w:color="auto" w:fill="E7E6E6" w:themeFill="background2"/>
            <w:vAlign w:val="center"/>
          </w:tcPr>
          <w:p w14:paraId="4C770FA5" w14:textId="77777777" w:rsidR="00EF1292" w:rsidRPr="00E56DD1" w:rsidRDefault="00EF1292" w:rsidP="00F45B3B">
            <w:pPr>
              <w:spacing w:before="60" w:after="60" w:line="200" w:lineRule="exact"/>
              <w:jc w:val="center"/>
              <w:rPr>
                <w:rFonts w:ascii="Times New Roman" w:eastAsia="Times New Roman" w:hAnsi="Times New Roman" w:cs="Times New Roman"/>
                <w:b/>
                <w:lang w:eastAsia="es-ES"/>
              </w:rPr>
            </w:pPr>
          </w:p>
        </w:tc>
        <w:tc>
          <w:tcPr>
            <w:tcW w:w="5810" w:type="dxa"/>
            <w:tcBorders>
              <w:left w:val="single" w:sz="12" w:space="0" w:color="auto"/>
              <w:bottom w:val="single" w:sz="12" w:space="0" w:color="auto"/>
              <w:right w:val="single" w:sz="18" w:space="0" w:color="auto"/>
            </w:tcBorders>
            <w:shd w:val="clear" w:color="auto" w:fill="E7E6E6" w:themeFill="background2"/>
            <w:vAlign w:val="center"/>
          </w:tcPr>
          <w:p w14:paraId="0EA00CB4" w14:textId="6A4EE9D9" w:rsidR="00EF1292" w:rsidRPr="0091716F" w:rsidRDefault="00EF1292" w:rsidP="009956B5">
            <w:pPr>
              <w:spacing w:before="40" w:after="6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En consecuencia</w:t>
            </w:r>
            <w:r w:rsidRPr="0091716F">
              <w:rPr>
                <w:rFonts w:ascii="Times New Roman" w:eastAsia="Times New Roman" w:hAnsi="Times New Roman" w:cs="Times New Roman"/>
                <w:sz w:val="20"/>
                <w:szCs w:val="20"/>
                <w:lang w:eastAsia="es-ES"/>
              </w:rPr>
              <w:t>, caso de adquisición de viviendas ruinosas para su rehabilitación o demolición/construcción, bastará con que así se declare por las partes en la escritura de compraventa</w:t>
            </w:r>
            <w:r w:rsidR="009956B5">
              <w:rPr>
                <w:rFonts w:ascii="Times New Roman" w:eastAsia="Times New Roman" w:hAnsi="Times New Roman" w:cs="Times New Roman"/>
                <w:sz w:val="20"/>
                <w:szCs w:val="20"/>
                <w:lang w:eastAsia="es-ES"/>
              </w:rPr>
              <w:t>.</w:t>
            </w:r>
          </w:p>
        </w:tc>
      </w:tr>
      <w:tr w:rsidR="0091716F" w:rsidRPr="000E48AA" w14:paraId="6F4AC1AA" w14:textId="77777777" w:rsidTr="00633D67">
        <w:trPr>
          <w:trHeight w:val="362"/>
          <w:jc w:val="center"/>
        </w:trPr>
        <w:tc>
          <w:tcPr>
            <w:tcW w:w="1678" w:type="dxa"/>
            <w:tcBorders>
              <w:left w:val="single" w:sz="18" w:space="0" w:color="auto"/>
              <w:bottom w:val="single" w:sz="12" w:space="0" w:color="auto"/>
              <w:right w:val="single" w:sz="12" w:space="0" w:color="auto"/>
            </w:tcBorders>
            <w:shd w:val="clear" w:color="auto" w:fill="FFFFFF" w:themeFill="background1"/>
            <w:vAlign w:val="center"/>
          </w:tcPr>
          <w:p w14:paraId="0A8C72B6" w14:textId="5D403040" w:rsidR="0091716F" w:rsidRPr="00E56DD1" w:rsidRDefault="0091716F" w:rsidP="00F45B3B">
            <w:pPr>
              <w:spacing w:before="60" w:after="60" w:line="200" w:lineRule="exact"/>
              <w:jc w:val="center"/>
              <w:rPr>
                <w:rFonts w:ascii="Times New Roman" w:eastAsia="Times New Roman" w:hAnsi="Times New Roman" w:cs="Times New Roman"/>
                <w:b/>
                <w:lang w:eastAsia="es-ES"/>
              </w:rPr>
            </w:pPr>
            <w:r w:rsidRPr="00361641">
              <w:rPr>
                <w:rFonts w:ascii="Times New Roman" w:eastAsia="Times New Roman" w:hAnsi="Times New Roman" w:cs="Times New Roman"/>
                <w:b/>
                <w:lang w:eastAsia="es-ES"/>
              </w:rPr>
              <w:t>Tipos de adquisición</w:t>
            </w:r>
          </w:p>
        </w:tc>
        <w:tc>
          <w:tcPr>
            <w:tcW w:w="5810" w:type="dxa"/>
            <w:tcBorders>
              <w:left w:val="single" w:sz="12" w:space="0" w:color="auto"/>
              <w:bottom w:val="single" w:sz="12" w:space="0" w:color="auto"/>
              <w:right w:val="single" w:sz="18" w:space="0" w:color="auto"/>
            </w:tcBorders>
            <w:shd w:val="clear" w:color="auto" w:fill="FFFFFF" w:themeFill="background1"/>
            <w:vAlign w:val="center"/>
          </w:tcPr>
          <w:p w14:paraId="473EBFEE" w14:textId="77777777" w:rsidR="0091716F" w:rsidRDefault="0091716F" w:rsidP="003A5178">
            <w:pPr>
              <w:spacing w:before="60" w:after="0" w:line="160" w:lineRule="exact"/>
              <w:jc w:val="center"/>
              <w:rPr>
                <w:rFonts w:ascii="Times New Roman" w:eastAsia="Times New Roman" w:hAnsi="Times New Roman" w:cs="Times New Roman"/>
                <w:sz w:val="24"/>
                <w:szCs w:val="24"/>
                <w:lang w:eastAsia="es-ES"/>
              </w:rPr>
            </w:pPr>
            <w:r w:rsidRPr="0091716F">
              <w:rPr>
                <w:rFonts w:ascii="Times New Roman" w:eastAsia="Times New Roman" w:hAnsi="Times New Roman" w:cs="Times New Roman"/>
                <w:sz w:val="24"/>
                <w:szCs w:val="24"/>
                <w:lang w:eastAsia="es-ES"/>
              </w:rPr>
              <w:t>Onerosas o gratuitas</w:t>
            </w:r>
          </w:p>
          <w:p w14:paraId="49196BD6" w14:textId="31E9B65C" w:rsidR="001C0084" w:rsidRPr="00764B4C" w:rsidRDefault="001C0084" w:rsidP="00633D67">
            <w:pPr>
              <w:spacing w:before="20" w:after="40" w:line="160" w:lineRule="exact"/>
              <w:jc w:val="center"/>
              <w:rPr>
                <w:rFonts w:ascii="Times New Roman" w:eastAsia="Times New Roman" w:hAnsi="Times New Roman" w:cs="Times New Roman"/>
                <w:sz w:val="16"/>
                <w:szCs w:val="16"/>
                <w:lang w:eastAsia="es-ES"/>
              </w:rPr>
            </w:pPr>
            <w:r w:rsidRPr="00764B4C">
              <w:rPr>
                <w:rFonts w:ascii="Times New Roman" w:eastAsia="Times New Roman" w:hAnsi="Times New Roman" w:cs="Times New Roman"/>
                <w:sz w:val="16"/>
                <w:szCs w:val="16"/>
                <w:lang w:eastAsia="es-ES"/>
              </w:rPr>
              <w:t xml:space="preserve">Ver APARTADO </w:t>
            </w:r>
            <w:r w:rsidR="0000510F">
              <w:rPr>
                <w:rFonts w:ascii="Times New Roman" w:eastAsia="Times New Roman" w:hAnsi="Times New Roman" w:cs="Times New Roman"/>
                <w:sz w:val="16"/>
                <w:szCs w:val="16"/>
                <w:lang w:eastAsia="es-ES"/>
              </w:rPr>
              <w:t>5</w:t>
            </w:r>
          </w:p>
        </w:tc>
      </w:tr>
      <w:tr w:rsidR="00D33EA1" w:rsidRPr="000E48AA" w14:paraId="340D8003" w14:textId="77777777" w:rsidTr="0091716F">
        <w:trPr>
          <w:trHeight w:val="201"/>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769C6592" w14:textId="4731C27A" w:rsidR="00D33EA1" w:rsidRDefault="003A5178" w:rsidP="00F45B3B">
            <w:pPr>
              <w:spacing w:before="60" w:after="60" w:line="200" w:lineRule="exact"/>
              <w:jc w:val="center"/>
              <w:rPr>
                <w:rFonts w:ascii="Times New Roman" w:eastAsia="Times New Roman" w:hAnsi="Times New Roman" w:cs="Times New Roman"/>
                <w:b/>
                <w:sz w:val="18"/>
                <w:szCs w:val="18"/>
                <w:lang w:eastAsia="es-ES"/>
              </w:rPr>
            </w:pPr>
            <w:r>
              <w:rPr>
                <w:rFonts w:ascii="Times New Roman" w:eastAsia="Times New Roman" w:hAnsi="Times New Roman" w:cs="Times New Roman"/>
                <w:b/>
                <w:sz w:val="18"/>
                <w:szCs w:val="18"/>
                <w:lang w:eastAsia="es-ES"/>
              </w:rPr>
              <w:t>Excepción de la c</w:t>
            </w:r>
            <w:r w:rsidR="00D33EA1" w:rsidRPr="00AF11DD">
              <w:rPr>
                <w:rFonts w:ascii="Times New Roman" w:eastAsia="Times New Roman" w:hAnsi="Times New Roman" w:cs="Times New Roman"/>
                <w:b/>
                <w:sz w:val="18"/>
                <w:szCs w:val="18"/>
                <w:lang w:eastAsia="es-ES"/>
              </w:rPr>
              <w:t>ontraprestación</w:t>
            </w:r>
          </w:p>
          <w:p w14:paraId="06ABE76A" w14:textId="2A8EC40F" w:rsidR="00DC42FC" w:rsidRPr="0000510F" w:rsidRDefault="005A136D" w:rsidP="008D4056">
            <w:pPr>
              <w:spacing w:before="60" w:after="60" w:line="160" w:lineRule="exact"/>
              <w:jc w:val="center"/>
              <w:rPr>
                <w:rFonts w:ascii="Times New Roman" w:eastAsia="Times New Roman" w:hAnsi="Times New Roman" w:cs="Times New Roman"/>
                <w:sz w:val="16"/>
                <w:szCs w:val="16"/>
                <w:lang w:eastAsia="es-ES"/>
              </w:rPr>
            </w:pPr>
            <w:r w:rsidRPr="0000510F">
              <w:rPr>
                <w:rFonts w:ascii="Times New Roman" w:eastAsia="Times New Roman" w:hAnsi="Times New Roman" w:cs="Times New Roman"/>
                <w:sz w:val="16"/>
                <w:szCs w:val="16"/>
                <w:lang w:eastAsia="es-ES"/>
              </w:rPr>
              <w:t>S</w:t>
            </w:r>
            <w:r w:rsidR="00DC42FC" w:rsidRPr="0000510F">
              <w:rPr>
                <w:rFonts w:ascii="Times New Roman" w:eastAsia="Times New Roman" w:hAnsi="Times New Roman" w:cs="Times New Roman"/>
                <w:sz w:val="16"/>
                <w:szCs w:val="16"/>
                <w:lang w:eastAsia="es-ES"/>
              </w:rPr>
              <w:t xml:space="preserve">e </w:t>
            </w:r>
            <w:r w:rsidRPr="0000510F">
              <w:rPr>
                <w:rFonts w:ascii="Times New Roman" w:eastAsia="Times New Roman" w:hAnsi="Times New Roman" w:cs="Times New Roman"/>
                <w:sz w:val="16"/>
                <w:szCs w:val="16"/>
                <w:lang w:eastAsia="es-ES"/>
              </w:rPr>
              <w:t>entiende en las</w:t>
            </w:r>
            <w:r w:rsidR="00DC42FC" w:rsidRPr="0000510F">
              <w:rPr>
                <w:rFonts w:ascii="Times New Roman" w:eastAsia="Times New Roman" w:hAnsi="Times New Roman" w:cs="Times New Roman"/>
                <w:sz w:val="16"/>
                <w:szCs w:val="16"/>
                <w:lang w:eastAsia="es-ES"/>
              </w:rPr>
              <w:t xml:space="preserve"> adquisiciones onerosas</w:t>
            </w:r>
            <w:r w:rsidR="008D4056" w:rsidRPr="0000510F">
              <w:rPr>
                <w:rFonts w:ascii="Times New Roman" w:eastAsia="Times New Roman" w:hAnsi="Times New Roman" w:cs="Times New Roman"/>
                <w:sz w:val="16"/>
                <w:szCs w:val="16"/>
                <w:lang w:eastAsia="es-ES"/>
              </w:rPr>
              <w:t xml:space="preserve">; y </w:t>
            </w:r>
            <w:r w:rsidRPr="0000510F">
              <w:rPr>
                <w:rFonts w:ascii="Times New Roman" w:eastAsia="Times New Roman" w:hAnsi="Times New Roman" w:cs="Times New Roman"/>
                <w:sz w:val="16"/>
                <w:szCs w:val="16"/>
                <w:lang w:eastAsia="es-ES"/>
              </w:rPr>
              <w:t>parece que también es aplicable</w:t>
            </w:r>
            <w:r w:rsidR="008D4056" w:rsidRPr="0000510F">
              <w:rPr>
                <w:rFonts w:ascii="Times New Roman" w:eastAsia="Times New Roman" w:hAnsi="Times New Roman" w:cs="Times New Roman"/>
                <w:sz w:val="16"/>
                <w:szCs w:val="16"/>
                <w:lang w:eastAsia="es-ES"/>
              </w:rPr>
              <w:t xml:space="preserve"> a los </w:t>
            </w:r>
            <w:r w:rsidR="0000510F" w:rsidRPr="0000510F">
              <w:rPr>
                <w:rFonts w:ascii="Times New Roman" w:eastAsia="Times New Roman" w:hAnsi="Times New Roman" w:cs="Times New Roman"/>
                <w:sz w:val="16"/>
                <w:szCs w:val="16"/>
                <w:lang w:eastAsia="es-ES"/>
              </w:rPr>
              <w:t>adquirentes por dedicación</w:t>
            </w:r>
            <w:r w:rsidR="008D4056" w:rsidRPr="0000510F">
              <w:rPr>
                <w:rFonts w:ascii="Times New Roman" w:eastAsia="Times New Roman" w:hAnsi="Times New Roman" w:cs="Times New Roman"/>
                <w:sz w:val="16"/>
                <w:szCs w:val="16"/>
                <w:lang w:eastAsia="es-ES"/>
              </w:rPr>
              <w:t>, aunque en la práctica</w:t>
            </w:r>
            <w:r w:rsidR="0000510F" w:rsidRPr="0000510F">
              <w:rPr>
                <w:rFonts w:ascii="Times New Roman" w:eastAsia="Times New Roman" w:hAnsi="Times New Roman" w:cs="Times New Roman"/>
                <w:sz w:val="16"/>
                <w:szCs w:val="16"/>
                <w:lang w:eastAsia="es-ES"/>
              </w:rPr>
              <w:t xml:space="preserve"> es otro</w:t>
            </w:r>
            <w:r w:rsidR="008D4056" w:rsidRPr="0000510F">
              <w:rPr>
                <w:rFonts w:ascii="Times New Roman" w:eastAsia="Times New Roman" w:hAnsi="Times New Roman" w:cs="Times New Roman"/>
                <w:sz w:val="16"/>
                <w:szCs w:val="16"/>
                <w:lang w:eastAsia="es-ES"/>
              </w:rPr>
              <w:t xml:space="preserve"> su modelo de negocio</w:t>
            </w:r>
          </w:p>
        </w:tc>
        <w:tc>
          <w:tcPr>
            <w:tcW w:w="5810" w:type="dxa"/>
            <w:tcBorders>
              <w:top w:val="single" w:sz="12" w:space="0" w:color="auto"/>
              <w:left w:val="single" w:sz="12" w:space="0" w:color="auto"/>
              <w:bottom w:val="single" w:sz="8" w:space="0" w:color="auto"/>
              <w:right w:val="single" w:sz="18" w:space="0" w:color="auto"/>
            </w:tcBorders>
            <w:shd w:val="clear" w:color="auto" w:fill="E7E6E6" w:themeFill="background2"/>
            <w:vAlign w:val="center"/>
          </w:tcPr>
          <w:p w14:paraId="0BD98D46" w14:textId="36DA2D12" w:rsidR="00D33EA1" w:rsidRPr="00DC42FC" w:rsidRDefault="00D33EA1" w:rsidP="003755A6">
            <w:pPr>
              <w:spacing w:before="60" w:after="20" w:line="200" w:lineRule="exact"/>
              <w:jc w:val="center"/>
              <w:rPr>
                <w:rFonts w:ascii="Times New Roman" w:eastAsia="Times New Roman" w:hAnsi="Times New Roman" w:cs="Times New Roman"/>
                <w:lang w:eastAsia="es-ES"/>
              </w:rPr>
            </w:pPr>
            <w:r w:rsidRPr="00DC42FC">
              <w:rPr>
                <w:rFonts w:ascii="Times New Roman" w:eastAsia="Times New Roman" w:hAnsi="Times New Roman" w:cs="Times New Roman"/>
                <w:lang w:eastAsia="es-ES"/>
              </w:rPr>
              <w:t>La limitación afecta a las adquisiciones</w:t>
            </w:r>
            <w:r w:rsidR="00444B12" w:rsidRPr="00DC42FC">
              <w:rPr>
                <w:rFonts w:ascii="Times New Roman" w:eastAsia="Times New Roman" w:hAnsi="Times New Roman" w:cs="Times New Roman"/>
                <w:lang w:eastAsia="es-ES"/>
              </w:rPr>
              <w:t xml:space="preserve"> </w:t>
            </w:r>
            <w:r w:rsidRPr="00DC42FC">
              <w:rPr>
                <w:rFonts w:ascii="Times New Roman" w:eastAsia="Times New Roman" w:hAnsi="Times New Roman" w:cs="Times New Roman"/>
                <w:lang w:eastAsia="es-ES"/>
              </w:rPr>
              <w:t xml:space="preserve"> “</w:t>
            </w:r>
            <w:r w:rsidRPr="00DC42FC">
              <w:rPr>
                <w:rFonts w:ascii="Times New Roman" w:eastAsia="Times New Roman" w:hAnsi="Times New Roman" w:cs="Times New Roman"/>
                <w:i/>
                <w:iCs/>
                <w:lang w:eastAsia="es-ES"/>
              </w:rPr>
              <w:t xml:space="preserve">por un valor de contraprestación inferior al </w:t>
            </w:r>
            <w:r w:rsidRPr="00DC42FC">
              <w:rPr>
                <w:rFonts w:ascii="Times New Roman" w:eastAsia="Times New Roman" w:hAnsi="Times New Roman" w:cs="Times New Roman"/>
                <w:lang w:eastAsia="es-ES"/>
              </w:rPr>
              <w:t xml:space="preserve">70% </w:t>
            </w:r>
            <w:r w:rsidRPr="00DC42FC">
              <w:rPr>
                <w:rFonts w:ascii="Times New Roman" w:eastAsia="Times New Roman" w:hAnsi="Times New Roman" w:cs="Times New Roman"/>
                <w:i/>
                <w:iCs/>
                <w:lang w:eastAsia="es-ES"/>
              </w:rPr>
              <w:t>de su valor de mercado</w:t>
            </w:r>
            <w:r w:rsidRPr="00DC42FC">
              <w:rPr>
                <w:rFonts w:ascii="Times New Roman" w:eastAsia="Times New Roman" w:hAnsi="Times New Roman" w:cs="Times New Roman"/>
                <w:lang w:eastAsia="es-ES"/>
              </w:rPr>
              <w:t>”</w:t>
            </w:r>
          </w:p>
        </w:tc>
      </w:tr>
      <w:tr w:rsidR="00D33EA1" w:rsidRPr="000E48AA" w14:paraId="54A1F330" w14:textId="77777777" w:rsidTr="0091716F">
        <w:trPr>
          <w:trHeight w:val="351"/>
          <w:jc w:val="center"/>
        </w:trPr>
        <w:tc>
          <w:tcPr>
            <w:tcW w:w="1678" w:type="dxa"/>
            <w:vMerge/>
            <w:tcBorders>
              <w:left w:val="single" w:sz="18" w:space="0" w:color="auto"/>
              <w:right w:val="single" w:sz="12" w:space="0" w:color="auto"/>
            </w:tcBorders>
            <w:shd w:val="clear" w:color="auto" w:fill="E7E6E6" w:themeFill="background2"/>
            <w:vAlign w:val="center"/>
          </w:tcPr>
          <w:p w14:paraId="1B3FB59D" w14:textId="77777777" w:rsidR="00D33EA1" w:rsidRPr="003C001A" w:rsidRDefault="00D33EA1" w:rsidP="00F45B3B">
            <w:pPr>
              <w:spacing w:before="60" w:after="60" w:line="200" w:lineRule="exact"/>
              <w:jc w:val="center"/>
              <w:rPr>
                <w:rFonts w:ascii="Times New Roman" w:eastAsia="Times New Roman" w:hAnsi="Times New Roman" w:cs="Times New Roman"/>
                <w:b/>
                <w:lang w:eastAsia="es-ES"/>
              </w:rPr>
            </w:pPr>
          </w:p>
        </w:tc>
        <w:tc>
          <w:tcPr>
            <w:tcW w:w="5810" w:type="dxa"/>
            <w:tcBorders>
              <w:top w:val="single" w:sz="8" w:space="0" w:color="auto"/>
              <w:left w:val="single" w:sz="12" w:space="0" w:color="auto"/>
              <w:bottom w:val="single" w:sz="6" w:space="0" w:color="auto"/>
              <w:right w:val="single" w:sz="18" w:space="0" w:color="auto"/>
            </w:tcBorders>
            <w:shd w:val="clear" w:color="auto" w:fill="E7E6E6" w:themeFill="background2"/>
            <w:vAlign w:val="center"/>
          </w:tcPr>
          <w:p w14:paraId="762716C8" w14:textId="3A7F3CFE" w:rsidR="00D33EA1" w:rsidRPr="00853F48" w:rsidRDefault="00D33EA1" w:rsidP="00855D2A">
            <w:pPr>
              <w:spacing w:before="20" w:after="40" w:line="180" w:lineRule="exact"/>
              <w:jc w:val="center"/>
              <w:rPr>
                <w:rFonts w:ascii="Times New Roman" w:eastAsia="Times New Roman" w:hAnsi="Times New Roman" w:cs="Times New Roman"/>
                <w:sz w:val="20"/>
                <w:szCs w:val="20"/>
                <w:lang w:eastAsia="es-ES"/>
              </w:rPr>
            </w:pPr>
            <w:r w:rsidRPr="00853F48">
              <w:rPr>
                <w:rFonts w:ascii="Times New Roman" w:eastAsia="Times New Roman" w:hAnsi="Times New Roman" w:cs="Times New Roman"/>
                <w:sz w:val="20"/>
                <w:szCs w:val="20"/>
                <w:lang w:eastAsia="es-ES"/>
              </w:rPr>
              <w:t>La valoración de la contraprestación incluye “</w:t>
            </w:r>
            <w:r w:rsidRPr="00853F48">
              <w:rPr>
                <w:rFonts w:ascii="Times New Roman" w:eastAsia="Times New Roman" w:hAnsi="Times New Roman" w:cs="Times New Roman"/>
                <w:i/>
                <w:iCs/>
                <w:sz w:val="20"/>
                <w:szCs w:val="20"/>
                <w:lang w:eastAsia="es-ES"/>
              </w:rPr>
              <w:t>deudas asumidas, prestaciones accesorias, y ventajas patrimoniales satisfechas o comprometidas por el adquirente o por personas vinculadas a este como consecuencia directa o indirecta de la transmisión</w:t>
            </w:r>
            <w:r w:rsidRPr="00853F48">
              <w:rPr>
                <w:rFonts w:ascii="Times New Roman" w:eastAsia="Times New Roman" w:hAnsi="Times New Roman" w:cs="Times New Roman"/>
                <w:sz w:val="20"/>
                <w:szCs w:val="20"/>
                <w:lang w:eastAsia="es-ES"/>
              </w:rPr>
              <w:t>”</w:t>
            </w:r>
          </w:p>
        </w:tc>
      </w:tr>
      <w:tr w:rsidR="00D33EA1" w:rsidRPr="000E48AA" w14:paraId="2F1530CF" w14:textId="77777777" w:rsidTr="0091716F">
        <w:trPr>
          <w:trHeight w:val="350"/>
          <w:jc w:val="center"/>
        </w:trPr>
        <w:tc>
          <w:tcPr>
            <w:tcW w:w="1678" w:type="dxa"/>
            <w:vMerge/>
            <w:tcBorders>
              <w:left w:val="single" w:sz="18" w:space="0" w:color="auto"/>
              <w:bottom w:val="single" w:sz="12" w:space="0" w:color="auto"/>
              <w:right w:val="single" w:sz="12" w:space="0" w:color="auto"/>
            </w:tcBorders>
            <w:shd w:val="clear" w:color="auto" w:fill="E7E6E6" w:themeFill="background2"/>
            <w:vAlign w:val="center"/>
          </w:tcPr>
          <w:p w14:paraId="6EA04DE6" w14:textId="77777777" w:rsidR="00D33EA1" w:rsidRPr="003C001A" w:rsidRDefault="00D33EA1" w:rsidP="00F45B3B">
            <w:pPr>
              <w:spacing w:before="60" w:after="60" w:line="200" w:lineRule="exact"/>
              <w:jc w:val="center"/>
              <w:rPr>
                <w:rFonts w:ascii="Times New Roman" w:eastAsia="Times New Roman" w:hAnsi="Times New Roman" w:cs="Times New Roman"/>
                <w:b/>
                <w:lang w:eastAsia="es-ES"/>
              </w:rPr>
            </w:pPr>
          </w:p>
        </w:tc>
        <w:tc>
          <w:tcPr>
            <w:tcW w:w="5810" w:type="dxa"/>
            <w:tcBorders>
              <w:top w:val="single" w:sz="8" w:space="0" w:color="auto"/>
              <w:left w:val="single" w:sz="12" w:space="0" w:color="auto"/>
              <w:bottom w:val="single" w:sz="12" w:space="0" w:color="auto"/>
              <w:right w:val="single" w:sz="18" w:space="0" w:color="auto"/>
            </w:tcBorders>
            <w:shd w:val="clear" w:color="auto" w:fill="E7E6E6" w:themeFill="background2"/>
            <w:vAlign w:val="center"/>
          </w:tcPr>
          <w:p w14:paraId="16D972C8" w14:textId="73C1AA7C" w:rsidR="00D33EA1" w:rsidRPr="00853F48" w:rsidRDefault="00D33EA1" w:rsidP="00F85F55">
            <w:pPr>
              <w:spacing w:before="20" w:after="60" w:line="180" w:lineRule="exact"/>
              <w:jc w:val="center"/>
              <w:rPr>
                <w:rFonts w:ascii="Times New Roman" w:eastAsia="Times New Roman" w:hAnsi="Times New Roman" w:cs="Times New Roman"/>
                <w:sz w:val="20"/>
                <w:szCs w:val="20"/>
                <w:lang w:eastAsia="es-ES"/>
              </w:rPr>
            </w:pPr>
            <w:r w:rsidRPr="00853F48">
              <w:rPr>
                <w:rFonts w:ascii="Times New Roman" w:eastAsia="Times New Roman" w:hAnsi="Times New Roman" w:cs="Times New Roman"/>
                <w:sz w:val="20"/>
                <w:szCs w:val="20"/>
                <w:lang w:eastAsia="es-ES"/>
              </w:rPr>
              <w:t>El valor de mercado se determina “</w:t>
            </w:r>
            <w:r w:rsidRPr="00853F48">
              <w:rPr>
                <w:rFonts w:ascii="Times New Roman" w:eastAsia="Times New Roman" w:hAnsi="Times New Roman" w:cs="Times New Roman"/>
                <w:i/>
                <w:iCs/>
                <w:sz w:val="20"/>
                <w:szCs w:val="20"/>
                <w:lang w:eastAsia="es-ES"/>
              </w:rPr>
              <w:t>a la fecha del acuerdo vinculante</w:t>
            </w:r>
            <w:r w:rsidRPr="00853F48">
              <w:rPr>
                <w:rFonts w:ascii="Times New Roman" w:eastAsia="Times New Roman" w:hAnsi="Times New Roman" w:cs="Times New Roman"/>
                <w:sz w:val="20"/>
                <w:szCs w:val="20"/>
                <w:lang w:eastAsia="es-ES"/>
              </w:rPr>
              <w:t xml:space="preserve"> [no a la inscripción], </w:t>
            </w:r>
            <w:r w:rsidRPr="00853F48">
              <w:rPr>
                <w:rFonts w:ascii="Times New Roman" w:eastAsia="Times New Roman" w:hAnsi="Times New Roman" w:cs="Times New Roman"/>
                <w:i/>
                <w:iCs/>
                <w:sz w:val="20"/>
                <w:szCs w:val="20"/>
                <w:lang w:eastAsia="es-ES"/>
              </w:rPr>
              <w:t>por una sociedad de tasación homologada e inscrita en el Banco de España, independiente de las partes, que emitirá un informe que deberá aportar la parte compradora</w:t>
            </w:r>
            <w:r w:rsidRPr="00853F48">
              <w:rPr>
                <w:rFonts w:ascii="Times New Roman" w:eastAsia="Times New Roman" w:hAnsi="Times New Roman" w:cs="Times New Roman"/>
                <w:sz w:val="20"/>
                <w:szCs w:val="20"/>
                <w:lang w:eastAsia="es-ES"/>
              </w:rPr>
              <w:t xml:space="preserve"> [sic]”.</w:t>
            </w:r>
          </w:p>
        </w:tc>
      </w:tr>
    </w:tbl>
    <w:p w14:paraId="12767C19" w14:textId="77777777" w:rsidR="00184D97" w:rsidRDefault="00184D97">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797A56" w:rsidRPr="000E48AA" w14:paraId="7F0BFD8C" w14:textId="77777777" w:rsidTr="00447512">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65155934" w14:textId="57BDBF5C" w:rsidR="00797A56" w:rsidRPr="00B93DCD" w:rsidRDefault="00BC188C" w:rsidP="00447512">
            <w:pPr>
              <w:spacing w:before="60" w:after="60" w:line="240" w:lineRule="exact"/>
              <w:jc w:val="center"/>
              <w:rPr>
                <w:rFonts w:ascii="Times New Roman" w:eastAsia="Times New Roman" w:hAnsi="Times New Roman" w:cs="Times New Roman"/>
                <w:b/>
                <w:color w:val="000000"/>
                <w:sz w:val="24"/>
                <w:szCs w:val="24"/>
                <w:lang w:eastAsia="es-ES"/>
              </w:rPr>
            </w:pPr>
            <w:r w:rsidRPr="00B93DCD">
              <w:rPr>
                <w:rFonts w:ascii="Times New Roman" w:eastAsia="Times New Roman" w:hAnsi="Times New Roman" w:cs="Times New Roman"/>
                <w:b/>
                <w:color w:val="000000"/>
                <w:sz w:val="24"/>
                <w:szCs w:val="24"/>
                <w:lang w:eastAsia="es-ES"/>
              </w:rPr>
              <w:lastRenderedPageBreak/>
              <w:t xml:space="preserve">2. </w:t>
            </w:r>
            <w:hyperlink r:id="rId13" w:history="1">
              <w:r w:rsidR="00797A56" w:rsidRPr="00B93DCD">
                <w:rPr>
                  <w:rStyle w:val="Hipervnculo"/>
                  <w:rFonts w:ascii="Times New Roman" w:eastAsia="Times New Roman" w:hAnsi="Times New Roman" w:cs="Times New Roman"/>
                  <w:b/>
                  <w:sz w:val="24"/>
                  <w:szCs w:val="24"/>
                  <w:lang w:eastAsia="es-ES"/>
                </w:rPr>
                <w:t>ARTÍCULO 1 DL 29/2026</w:t>
              </w:r>
            </w:hyperlink>
            <w:r w:rsidR="00A34E58" w:rsidRPr="00B93DCD">
              <w:rPr>
                <w:rFonts w:ascii="Times New Roman" w:eastAsia="Times New Roman" w:hAnsi="Times New Roman" w:cs="Times New Roman"/>
                <w:b/>
                <w:color w:val="000000"/>
                <w:sz w:val="24"/>
                <w:szCs w:val="24"/>
                <w:lang w:eastAsia="es-ES"/>
              </w:rPr>
              <w:t xml:space="preserve">. </w:t>
            </w:r>
            <w:bookmarkStart w:id="2" w:name="PROCEDIMIENTO"/>
            <w:bookmarkEnd w:id="2"/>
            <w:r w:rsidR="00A34E58" w:rsidRPr="00B93DCD">
              <w:rPr>
                <w:rFonts w:ascii="Times New Roman" w:eastAsia="Times New Roman" w:hAnsi="Times New Roman" w:cs="Times New Roman"/>
                <w:b/>
                <w:color w:val="000000"/>
                <w:sz w:val="24"/>
                <w:szCs w:val="24"/>
                <w:lang w:eastAsia="es-ES"/>
              </w:rPr>
              <w:t>PROCEDIMIENTO NOTARIAL</w:t>
            </w:r>
          </w:p>
        </w:tc>
      </w:tr>
      <w:tr w:rsidR="00711104" w:rsidRPr="000E48AA" w14:paraId="6DDB0E76" w14:textId="77777777" w:rsidTr="00711104">
        <w:trPr>
          <w:trHeight w:val="501"/>
          <w:jc w:val="center"/>
        </w:trPr>
        <w:tc>
          <w:tcPr>
            <w:tcW w:w="1678" w:type="dxa"/>
            <w:vMerge w:val="restart"/>
            <w:tcBorders>
              <w:top w:val="single" w:sz="12" w:space="0" w:color="auto"/>
              <w:left w:val="single" w:sz="18" w:space="0" w:color="auto"/>
              <w:right w:val="single" w:sz="12" w:space="0" w:color="auto"/>
            </w:tcBorders>
            <w:vAlign w:val="center"/>
          </w:tcPr>
          <w:p w14:paraId="303E1BFC" w14:textId="77777777" w:rsidR="000F7DA6" w:rsidRDefault="00711104" w:rsidP="000F7DA6">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Supuesto habitual</w:t>
            </w:r>
            <w:r w:rsidR="000F7DA6">
              <w:rPr>
                <w:rFonts w:ascii="Times New Roman" w:eastAsia="Times New Roman" w:hAnsi="Times New Roman" w:cs="Times New Roman"/>
                <w:b/>
                <w:lang w:eastAsia="es-ES"/>
              </w:rPr>
              <w:t xml:space="preserve">: </w:t>
            </w:r>
          </w:p>
          <w:p w14:paraId="0A0AE603" w14:textId="5AB36BDE" w:rsidR="00711104" w:rsidRPr="00A95E6A" w:rsidRDefault="000F7DA6" w:rsidP="000F7DA6">
            <w:pPr>
              <w:spacing w:before="20" w:after="60" w:line="200" w:lineRule="exact"/>
              <w:jc w:val="center"/>
              <w:rPr>
                <w:rFonts w:ascii="Times New Roman" w:eastAsia="Times New Roman" w:hAnsi="Times New Roman" w:cs="Times New Roman"/>
                <w:b/>
                <w:lang w:eastAsia="es-ES"/>
              </w:rPr>
            </w:pPr>
            <w:r w:rsidRPr="000F7DA6">
              <w:rPr>
                <w:rFonts w:ascii="Times New Roman" w:eastAsia="Times New Roman" w:hAnsi="Times New Roman" w:cs="Times New Roman"/>
                <w:b/>
                <w:sz w:val="18"/>
                <w:szCs w:val="18"/>
                <w:lang w:eastAsia="es-ES"/>
              </w:rPr>
              <w:t>fondos buitres y sociedades urracas</w:t>
            </w:r>
          </w:p>
        </w:tc>
        <w:tc>
          <w:tcPr>
            <w:tcW w:w="5810" w:type="dxa"/>
            <w:tcBorders>
              <w:top w:val="single" w:sz="12" w:space="0" w:color="auto"/>
              <w:left w:val="single" w:sz="12" w:space="0" w:color="auto"/>
              <w:right w:val="single" w:sz="18" w:space="0" w:color="auto"/>
            </w:tcBorders>
            <w:vAlign w:val="center"/>
          </w:tcPr>
          <w:p w14:paraId="28567FDF" w14:textId="77777777" w:rsidR="00711104" w:rsidRDefault="00711104" w:rsidP="00864B0D">
            <w:pPr>
              <w:spacing w:before="60" w:after="0" w:line="180" w:lineRule="exact"/>
              <w:jc w:val="both"/>
              <w:rPr>
                <w:rFonts w:ascii="Times New Roman" w:eastAsia="Times New Roman" w:hAnsi="Times New Roman" w:cs="Times New Roman"/>
                <w:sz w:val="18"/>
                <w:szCs w:val="18"/>
                <w:lang w:eastAsia="es-ES"/>
              </w:rPr>
            </w:pPr>
            <w:r w:rsidRPr="00794877">
              <w:rPr>
                <w:rFonts w:ascii="Times New Roman" w:eastAsia="Times New Roman" w:hAnsi="Times New Roman" w:cs="Times New Roman"/>
                <w:sz w:val="18"/>
                <w:szCs w:val="18"/>
                <w:lang w:eastAsia="es-ES"/>
              </w:rPr>
              <w:t>Pr</w:t>
            </w:r>
            <w:r>
              <w:rPr>
                <w:rFonts w:ascii="Times New Roman" w:eastAsia="Times New Roman" w:hAnsi="Times New Roman" w:cs="Times New Roman"/>
                <w:sz w:val="18"/>
                <w:szCs w:val="18"/>
                <w:lang w:eastAsia="es-ES"/>
              </w:rPr>
              <w:t>imero habrá que determinar que no se trata de un adquirente “por dedicación”</w:t>
            </w:r>
            <w:r w:rsidR="000F7DA6">
              <w:rPr>
                <w:rFonts w:ascii="Times New Roman" w:eastAsia="Times New Roman" w:hAnsi="Times New Roman" w:cs="Times New Roman"/>
                <w:sz w:val="18"/>
                <w:szCs w:val="18"/>
                <w:lang w:eastAsia="es-ES"/>
              </w:rPr>
              <w:t>, para lo cual habrá que atender a su tipología, manifestaciones de los interesados y actividad declarada (CNAE)</w:t>
            </w:r>
            <w:r w:rsidR="00AB2AA4">
              <w:rPr>
                <w:rFonts w:ascii="Times New Roman" w:eastAsia="Times New Roman" w:hAnsi="Times New Roman" w:cs="Times New Roman"/>
                <w:sz w:val="18"/>
                <w:szCs w:val="18"/>
                <w:lang w:eastAsia="es-ES"/>
              </w:rPr>
              <w:t>.</w:t>
            </w:r>
          </w:p>
          <w:p w14:paraId="5F26C832" w14:textId="72E3175E" w:rsidR="00864B0D" w:rsidRPr="000F7DA6" w:rsidRDefault="00864B0D" w:rsidP="00E0241C">
            <w:pPr>
              <w:spacing w:after="2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El caso contrario impide la autorización notarial e inscripción registral.</w:t>
            </w:r>
          </w:p>
        </w:tc>
      </w:tr>
      <w:tr w:rsidR="00711104" w:rsidRPr="000E48AA" w14:paraId="197752D7" w14:textId="77777777" w:rsidTr="00ED12D5">
        <w:trPr>
          <w:trHeight w:val="501"/>
          <w:jc w:val="center"/>
        </w:trPr>
        <w:tc>
          <w:tcPr>
            <w:tcW w:w="1678" w:type="dxa"/>
            <w:vMerge/>
            <w:tcBorders>
              <w:left w:val="single" w:sz="18" w:space="0" w:color="auto"/>
              <w:bottom w:val="single" w:sz="12" w:space="0" w:color="auto"/>
              <w:right w:val="single" w:sz="12" w:space="0" w:color="auto"/>
            </w:tcBorders>
            <w:vAlign w:val="center"/>
          </w:tcPr>
          <w:p w14:paraId="7215E0DA" w14:textId="77777777" w:rsidR="00711104" w:rsidRDefault="00711104" w:rsidP="00797A56">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bottom w:val="single" w:sz="12" w:space="0" w:color="auto"/>
              <w:right w:val="single" w:sz="18" w:space="0" w:color="auto"/>
            </w:tcBorders>
            <w:vAlign w:val="center"/>
          </w:tcPr>
          <w:p w14:paraId="3071C0D4" w14:textId="4A925215" w:rsidR="000C5C8C" w:rsidRPr="00794877" w:rsidRDefault="000C5C8C" w:rsidP="000F7DA6">
            <w:pPr>
              <w:spacing w:before="20" w:after="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Superado lo anterior</w:t>
            </w:r>
            <w:r w:rsidRPr="00794877">
              <w:rPr>
                <w:rFonts w:ascii="Times New Roman" w:eastAsia="Times New Roman" w:hAnsi="Times New Roman" w:cs="Times New Roman"/>
                <w:sz w:val="18"/>
                <w:szCs w:val="18"/>
                <w:lang w:eastAsia="es-ES"/>
              </w:rPr>
              <w:t xml:space="preserve">, </w:t>
            </w:r>
            <w:r w:rsidR="009F5776">
              <w:rPr>
                <w:rFonts w:ascii="Times New Roman" w:eastAsia="Times New Roman" w:hAnsi="Times New Roman" w:cs="Times New Roman"/>
                <w:sz w:val="18"/>
                <w:szCs w:val="18"/>
                <w:lang w:eastAsia="es-ES"/>
              </w:rPr>
              <w:t xml:space="preserve">habrá que determinar que no se trata de un adquirente persona jurídica </w:t>
            </w:r>
            <w:r w:rsidR="00AB2AA4">
              <w:rPr>
                <w:rFonts w:ascii="Times New Roman" w:eastAsia="Times New Roman" w:hAnsi="Times New Roman" w:cs="Times New Roman"/>
                <w:sz w:val="18"/>
                <w:szCs w:val="18"/>
                <w:lang w:eastAsia="es-ES"/>
              </w:rPr>
              <w:t>“</w:t>
            </w:r>
            <w:r w:rsidR="009F5776">
              <w:rPr>
                <w:rFonts w:ascii="Times New Roman" w:eastAsia="Times New Roman" w:hAnsi="Times New Roman" w:cs="Times New Roman"/>
                <w:sz w:val="18"/>
                <w:szCs w:val="18"/>
                <w:lang w:eastAsia="es-ES"/>
              </w:rPr>
              <w:t>por tenencia</w:t>
            </w:r>
            <w:r w:rsidR="00AB2AA4">
              <w:rPr>
                <w:rFonts w:ascii="Times New Roman" w:eastAsia="Times New Roman" w:hAnsi="Times New Roman" w:cs="Times New Roman"/>
                <w:sz w:val="18"/>
                <w:szCs w:val="18"/>
                <w:lang w:eastAsia="es-ES"/>
              </w:rPr>
              <w:t>” (</w:t>
            </w:r>
            <w:r w:rsidRPr="00794877">
              <w:rPr>
                <w:rFonts w:ascii="Times New Roman" w:eastAsia="Times New Roman" w:hAnsi="Times New Roman" w:cs="Times New Roman"/>
                <w:sz w:val="18"/>
                <w:szCs w:val="18"/>
                <w:lang w:eastAsia="es-ES"/>
              </w:rPr>
              <w:t xml:space="preserve">el supuesto </w:t>
            </w:r>
            <w:r>
              <w:rPr>
                <w:rFonts w:ascii="Times New Roman" w:eastAsia="Times New Roman" w:hAnsi="Times New Roman" w:cs="Times New Roman"/>
                <w:sz w:val="18"/>
                <w:szCs w:val="18"/>
                <w:lang w:eastAsia="es-ES"/>
              </w:rPr>
              <w:t>habitual</w:t>
            </w:r>
            <w:r w:rsidRPr="00794877">
              <w:rPr>
                <w:rFonts w:ascii="Times New Roman" w:eastAsia="Times New Roman" w:hAnsi="Times New Roman" w:cs="Times New Roman"/>
                <w:sz w:val="18"/>
                <w:szCs w:val="18"/>
                <w:lang w:eastAsia="es-ES"/>
              </w:rPr>
              <w:t xml:space="preserve"> es la adquisición de una vivienda por una sociedad</w:t>
            </w:r>
            <w:r w:rsidR="00AB2AA4">
              <w:rPr>
                <w:rFonts w:ascii="Times New Roman" w:eastAsia="Times New Roman" w:hAnsi="Times New Roman" w:cs="Times New Roman"/>
                <w:sz w:val="18"/>
                <w:szCs w:val="18"/>
                <w:lang w:eastAsia="es-ES"/>
              </w:rPr>
              <w:t>)</w:t>
            </w:r>
            <w:r>
              <w:rPr>
                <w:rFonts w:ascii="Times New Roman" w:eastAsia="Times New Roman" w:hAnsi="Times New Roman" w:cs="Times New Roman"/>
                <w:sz w:val="18"/>
                <w:szCs w:val="18"/>
                <w:lang w:eastAsia="es-ES"/>
              </w:rPr>
              <w:t>, p</w:t>
            </w:r>
            <w:r w:rsidR="00AB2AA4">
              <w:rPr>
                <w:rFonts w:ascii="Times New Roman" w:eastAsia="Times New Roman" w:hAnsi="Times New Roman" w:cs="Times New Roman"/>
                <w:sz w:val="18"/>
                <w:szCs w:val="18"/>
                <w:lang w:eastAsia="es-ES"/>
              </w:rPr>
              <w:t>ara</w:t>
            </w:r>
            <w:r>
              <w:rPr>
                <w:rFonts w:ascii="Times New Roman" w:eastAsia="Times New Roman" w:hAnsi="Times New Roman" w:cs="Times New Roman"/>
                <w:sz w:val="18"/>
                <w:szCs w:val="18"/>
                <w:lang w:eastAsia="es-ES"/>
              </w:rPr>
              <w:t xml:space="preserve"> lo que </w:t>
            </w:r>
            <w:r w:rsidRPr="000C5C8C">
              <w:rPr>
                <w:rFonts w:ascii="Times New Roman" w:eastAsia="Times New Roman" w:hAnsi="Times New Roman" w:cs="Times New Roman"/>
                <w:sz w:val="18"/>
                <w:szCs w:val="18"/>
                <w:lang w:eastAsia="es-ES"/>
              </w:rPr>
              <w:t>habrá que determinar si no se dan estas dos condiciones</w:t>
            </w:r>
            <w:r>
              <w:rPr>
                <w:rFonts w:ascii="Times New Roman" w:eastAsia="Times New Roman" w:hAnsi="Times New Roman" w:cs="Times New Roman"/>
                <w:sz w:val="18"/>
                <w:szCs w:val="18"/>
                <w:lang w:eastAsia="es-ES"/>
              </w:rPr>
              <w:t>, cuya concurrencia impide la autorización notarial</w:t>
            </w:r>
            <w:r w:rsidRPr="00794877">
              <w:rPr>
                <w:rFonts w:ascii="Times New Roman" w:eastAsia="Times New Roman" w:hAnsi="Times New Roman" w:cs="Times New Roman"/>
                <w:sz w:val="18"/>
                <w:szCs w:val="18"/>
                <w:lang w:eastAsia="es-ES"/>
              </w:rPr>
              <w:t>:</w:t>
            </w:r>
          </w:p>
          <w:p w14:paraId="16FF55B7" w14:textId="77777777" w:rsidR="000C5C8C" w:rsidRPr="00794877" w:rsidRDefault="000C5C8C" w:rsidP="000C5C8C">
            <w:pPr>
              <w:spacing w:after="0" w:line="180" w:lineRule="exact"/>
              <w:jc w:val="both"/>
              <w:rPr>
                <w:rFonts w:ascii="Times New Roman" w:eastAsia="Times New Roman" w:hAnsi="Times New Roman" w:cs="Times New Roman"/>
                <w:sz w:val="18"/>
                <w:szCs w:val="18"/>
                <w:lang w:eastAsia="es-ES"/>
              </w:rPr>
            </w:pPr>
            <w:r w:rsidRPr="00794877">
              <w:rPr>
                <w:rFonts w:ascii="Times New Roman" w:eastAsia="Times New Roman" w:hAnsi="Times New Roman" w:cs="Times New Roman"/>
                <w:sz w:val="18"/>
                <w:szCs w:val="18"/>
                <w:lang w:eastAsia="es-ES"/>
              </w:rPr>
              <w:t>- Cualidad de gran tenedor.</w:t>
            </w:r>
          </w:p>
          <w:p w14:paraId="11CC0671" w14:textId="77777777" w:rsidR="00711104" w:rsidRDefault="000C5C8C" w:rsidP="00864B0D">
            <w:pPr>
              <w:spacing w:after="0" w:line="180" w:lineRule="exact"/>
              <w:jc w:val="both"/>
              <w:rPr>
                <w:rFonts w:ascii="Times New Roman" w:eastAsia="Times New Roman" w:hAnsi="Times New Roman" w:cs="Times New Roman"/>
                <w:sz w:val="18"/>
                <w:szCs w:val="18"/>
                <w:lang w:eastAsia="es-ES"/>
              </w:rPr>
            </w:pPr>
            <w:r w:rsidRPr="00794877">
              <w:rPr>
                <w:rFonts w:ascii="Times New Roman" w:eastAsia="Times New Roman" w:hAnsi="Times New Roman" w:cs="Times New Roman"/>
                <w:sz w:val="18"/>
                <w:szCs w:val="18"/>
                <w:lang w:eastAsia="es-ES"/>
              </w:rPr>
              <w:t>- Contraprestación inferior al 70% de la tasación.</w:t>
            </w:r>
          </w:p>
          <w:p w14:paraId="4C5FFCF0" w14:textId="23DF9272" w:rsidR="00864B0D" w:rsidRPr="00794877" w:rsidRDefault="00864B0D" w:rsidP="000F7DA6">
            <w:pPr>
              <w:spacing w:after="6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La concurrencia de cualquiera de estas dos condiciones impide la autorización notarial e inscripción registral</w:t>
            </w:r>
          </w:p>
        </w:tc>
      </w:tr>
      <w:tr w:rsidR="00917804" w:rsidRPr="000E48AA" w14:paraId="3F80F5FB" w14:textId="77777777" w:rsidTr="00917804">
        <w:trPr>
          <w:trHeight w:val="191"/>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539FB249" w14:textId="77777777" w:rsidR="00917804" w:rsidRDefault="00917804" w:rsidP="00ED12D5">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Acreditación</w:t>
            </w:r>
          </w:p>
          <w:p w14:paraId="44F58992" w14:textId="7DEEF7A7" w:rsidR="00917804" w:rsidRDefault="00917804" w:rsidP="00ED12D5">
            <w:pPr>
              <w:spacing w:after="60" w:line="200" w:lineRule="exact"/>
              <w:jc w:val="center"/>
              <w:rPr>
                <w:rFonts w:ascii="Times New Roman" w:eastAsia="Times New Roman" w:hAnsi="Times New Roman" w:cs="Times New Roman"/>
                <w:b/>
                <w:lang w:eastAsia="es-ES"/>
              </w:rPr>
            </w:pPr>
            <w:r w:rsidRPr="00ED12D5">
              <w:rPr>
                <w:rFonts w:ascii="Times New Roman" w:eastAsia="Times New Roman" w:hAnsi="Times New Roman" w:cs="Times New Roman"/>
                <w:b/>
                <w:sz w:val="18"/>
                <w:szCs w:val="18"/>
                <w:lang w:eastAsia="es-ES"/>
              </w:rPr>
              <w:t>de que no se es adquirente por dedicación</w:t>
            </w:r>
          </w:p>
        </w:tc>
        <w:tc>
          <w:tcPr>
            <w:tcW w:w="5810" w:type="dxa"/>
            <w:tcBorders>
              <w:top w:val="single" w:sz="12" w:space="0" w:color="auto"/>
              <w:left w:val="single" w:sz="12" w:space="0" w:color="auto"/>
              <w:bottom w:val="single" w:sz="8" w:space="0" w:color="auto"/>
              <w:right w:val="single" w:sz="18" w:space="0" w:color="auto"/>
            </w:tcBorders>
            <w:shd w:val="clear" w:color="auto" w:fill="E7E6E6" w:themeFill="background2"/>
            <w:vAlign w:val="center"/>
          </w:tcPr>
          <w:p w14:paraId="1AAB7A56" w14:textId="0FA683B0" w:rsidR="00917804" w:rsidRPr="00F37543" w:rsidRDefault="00917804" w:rsidP="00F37543">
            <w:pPr>
              <w:spacing w:before="60" w:after="20" w:line="180" w:lineRule="exact"/>
              <w:jc w:val="center"/>
              <w:rPr>
                <w:rFonts w:ascii="Times New Roman" w:eastAsia="Times New Roman" w:hAnsi="Times New Roman" w:cs="Times New Roman"/>
                <w:sz w:val="20"/>
                <w:szCs w:val="20"/>
                <w:lang w:eastAsia="es-ES"/>
              </w:rPr>
            </w:pPr>
            <w:r w:rsidRPr="00F37543">
              <w:rPr>
                <w:rFonts w:ascii="Times New Roman" w:eastAsia="Times New Roman" w:hAnsi="Times New Roman" w:cs="Times New Roman"/>
                <w:sz w:val="20"/>
                <w:szCs w:val="20"/>
                <w:lang w:eastAsia="es-ES"/>
              </w:rPr>
              <w:t>“</w:t>
            </w:r>
            <w:r w:rsidRPr="00F37543">
              <w:rPr>
                <w:rFonts w:ascii="Times New Roman" w:eastAsia="Times New Roman" w:hAnsi="Times New Roman" w:cs="Times New Roman"/>
                <w:i/>
                <w:iCs/>
                <w:sz w:val="20"/>
                <w:szCs w:val="20"/>
                <w:lang w:eastAsia="es-ES"/>
              </w:rPr>
              <w:t>toda entidad con o sin personalidad jurídica dedicada a adquirir inmuebles o carteras de préstamo hipotecarios impagados por un precio claramente inferior a su valor de tasación de mercado</w:t>
            </w:r>
            <w:r w:rsidRPr="00F37543">
              <w:rPr>
                <w:rFonts w:ascii="Times New Roman" w:eastAsia="Times New Roman" w:hAnsi="Times New Roman" w:cs="Times New Roman"/>
                <w:sz w:val="20"/>
                <w:szCs w:val="20"/>
                <w:lang w:eastAsia="es-ES"/>
              </w:rPr>
              <w:t>”</w:t>
            </w:r>
          </w:p>
        </w:tc>
      </w:tr>
      <w:tr w:rsidR="00917804" w:rsidRPr="000E48AA" w14:paraId="2F0CAAF1" w14:textId="77777777" w:rsidTr="00917804">
        <w:trPr>
          <w:trHeight w:val="191"/>
          <w:jc w:val="center"/>
        </w:trPr>
        <w:tc>
          <w:tcPr>
            <w:tcW w:w="1678" w:type="dxa"/>
            <w:vMerge/>
            <w:tcBorders>
              <w:left w:val="single" w:sz="18" w:space="0" w:color="auto"/>
              <w:right w:val="single" w:sz="12" w:space="0" w:color="auto"/>
            </w:tcBorders>
            <w:shd w:val="clear" w:color="auto" w:fill="E7E6E6" w:themeFill="background2"/>
            <w:vAlign w:val="center"/>
          </w:tcPr>
          <w:p w14:paraId="51CCBE78" w14:textId="77777777" w:rsidR="00917804" w:rsidRDefault="00917804" w:rsidP="00917804">
            <w:pPr>
              <w:spacing w:before="60" w:after="0" w:line="200" w:lineRule="exact"/>
              <w:jc w:val="center"/>
              <w:rPr>
                <w:rFonts w:ascii="Times New Roman" w:eastAsia="Times New Roman" w:hAnsi="Times New Roman" w:cs="Times New Roman"/>
                <w:b/>
                <w:lang w:eastAsia="es-ES"/>
              </w:rPr>
            </w:pPr>
          </w:p>
        </w:tc>
        <w:tc>
          <w:tcPr>
            <w:tcW w:w="5810" w:type="dxa"/>
            <w:tcBorders>
              <w:top w:val="single" w:sz="8" w:space="0" w:color="auto"/>
              <w:left w:val="single" w:sz="12" w:space="0" w:color="auto"/>
              <w:bottom w:val="single" w:sz="8" w:space="0" w:color="auto"/>
              <w:right w:val="single" w:sz="18" w:space="0" w:color="auto"/>
            </w:tcBorders>
            <w:shd w:val="clear" w:color="auto" w:fill="E7E6E6" w:themeFill="background2"/>
            <w:vAlign w:val="center"/>
          </w:tcPr>
          <w:p w14:paraId="36B3E95F" w14:textId="4E39DD43" w:rsidR="00917804" w:rsidRDefault="00917804" w:rsidP="00F37543">
            <w:pPr>
              <w:spacing w:before="20" w:after="20" w:line="180" w:lineRule="exact"/>
              <w:jc w:val="both"/>
              <w:rPr>
                <w:rFonts w:ascii="Times New Roman" w:eastAsia="Times New Roman" w:hAnsi="Times New Roman" w:cs="Times New Roman"/>
                <w:sz w:val="18"/>
                <w:szCs w:val="18"/>
                <w:lang w:eastAsia="es-ES"/>
              </w:rPr>
            </w:pPr>
            <w:r w:rsidRPr="005F6DC0">
              <w:rPr>
                <w:rFonts w:ascii="Times New Roman" w:eastAsia="Times New Roman" w:hAnsi="Times New Roman" w:cs="Times New Roman"/>
                <w:sz w:val="20"/>
                <w:szCs w:val="20"/>
                <w:lang w:eastAsia="es-ES"/>
              </w:rPr>
              <w:t>Parece referirse a los llamados “fondos buitres”: sociedades de capital riesgo, fondos de inversión alternativa, fondos de titulización de activos, sociedades de gestión de activos, etc.</w:t>
            </w:r>
          </w:p>
        </w:tc>
      </w:tr>
      <w:tr w:rsidR="00917804" w:rsidRPr="000E48AA" w14:paraId="04B097F5" w14:textId="77777777" w:rsidTr="00917804">
        <w:trPr>
          <w:trHeight w:val="191"/>
          <w:jc w:val="center"/>
        </w:trPr>
        <w:tc>
          <w:tcPr>
            <w:tcW w:w="1678" w:type="dxa"/>
            <w:vMerge/>
            <w:tcBorders>
              <w:left w:val="single" w:sz="18" w:space="0" w:color="auto"/>
              <w:right w:val="single" w:sz="12" w:space="0" w:color="auto"/>
            </w:tcBorders>
            <w:shd w:val="clear" w:color="auto" w:fill="E7E6E6" w:themeFill="background2"/>
            <w:vAlign w:val="center"/>
          </w:tcPr>
          <w:p w14:paraId="1406B9B1" w14:textId="77777777" w:rsidR="00917804" w:rsidRDefault="00917804" w:rsidP="00917804">
            <w:pPr>
              <w:spacing w:before="60" w:after="0" w:line="200" w:lineRule="exact"/>
              <w:jc w:val="center"/>
              <w:rPr>
                <w:rFonts w:ascii="Times New Roman" w:eastAsia="Times New Roman" w:hAnsi="Times New Roman" w:cs="Times New Roman"/>
                <w:b/>
                <w:lang w:eastAsia="es-ES"/>
              </w:rPr>
            </w:pPr>
          </w:p>
        </w:tc>
        <w:tc>
          <w:tcPr>
            <w:tcW w:w="5810" w:type="dxa"/>
            <w:tcBorders>
              <w:top w:val="single" w:sz="8" w:space="0" w:color="auto"/>
              <w:left w:val="single" w:sz="12" w:space="0" w:color="auto"/>
              <w:bottom w:val="single" w:sz="8" w:space="0" w:color="auto"/>
              <w:right w:val="single" w:sz="18" w:space="0" w:color="auto"/>
            </w:tcBorders>
            <w:shd w:val="clear" w:color="auto" w:fill="E7E6E6" w:themeFill="background2"/>
            <w:vAlign w:val="center"/>
          </w:tcPr>
          <w:p w14:paraId="47595CC6" w14:textId="77777777" w:rsidR="00917804" w:rsidRPr="005F6DC0" w:rsidRDefault="00917804" w:rsidP="00F37543">
            <w:pPr>
              <w:spacing w:before="20" w:after="0" w:line="180" w:lineRule="exact"/>
              <w:jc w:val="both"/>
              <w:rPr>
                <w:rFonts w:ascii="Times New Roman" w:eastAsia="Times New Roman" w:hAnsi="Times New Roman" w:cs="Times New Roman"/>
                <w:sz w:val="20"/>
                <w:szCs w:val="20"/>
                <w:lang w:eastAsia="es-ES"/>
              </w:rPr>
            </w:pPr>
            <w:r w:rsidRPr="005F6DC0">
              <w:rPr>
                <w:rFonts w:ascii="Times New Roman" w:eastAsia="Times New Roman" w:hAnsi="Times New Roman" w:cs="Times New Roman"/>
                <w:sz w:val="20"/>
                <w:szCs w:val="20"/>
                <w:lang w:eastAsia="es-ES"/>
              </w:rPr>
              <w:t>Dado que tal caracterización es algo imprecisa, habrá que atender a la tipología societaria, manifestaciones de los interesados y a la actividad declarada (CNAE).</w:t>
            </w:r>
          </w:p>
          <w:p w14:paraId="610E827B" w14:textId="4A48E6E7" w:rsidR="00917804" w:rsidRDefault="00917804" w:rsidP="00F37543">
            <w:pPr>
              <w:spacing w:before="20" w:after="20" w:line="180" w:lineRule="exact"/>
              <w:jc w:val="both"/>
              <w:rPr>
                <w:rFonts w:ascii="Times New Roman" w:eastAsia="Times New Roman" w:hAnsi="Times New Roman" w:cs="Times New Roman"/>
                <w:sz w:val="18"/>
                <w:szCs w:val="18"/>
                <w:lang w:eastAsia="es-ES"/>
              </w:rPr>
            </w:pPr>
            <w:r w:rsidRPr="005F6DC0">
              <w:rPr>
                <w:rFonts w:ascii="Times New Roman" w:eastAsia="Times New Roman" w:hAnsi="Times New Roman" w:cs="Times New Roman"/>
                <w:sz w:val="20"/>
                <w:szCs w:val="20"/>
                <w:lang w:eastAsia="es-ES"/>
              </w:rPr>
              <w:t>El DL 26/2026 atendía a la inclusión en el objeto social de “</w:t>
            </w:r>
            <w:r w:rsidRPr="00711104">
              <w:rPr>
                <w:rFonts w:ascii="Times New Roman" w:eastAsia="Times New Roman" w:hAnsi="Times New Roman" w:cs="Times New Roman"/>
                <w:i/>
                <w:iCs/>
                <w:sz w:val="20"/>
                <w:szCs w:val="20"/>
                <w:lang w:eastAsia="es-ES"/>
              </w:rPr>
              <w:t>la adquisición de inmuebles</w:t>
            </w:r>
            <w:r w:rsidRPr="005F6DC0">
              <w:rPr>
                <w:rFonts w:ascii="Times New Roman" w:eastAsia="Times New Roman" w:hAnsi="Times New Roman" w:cs="Times New Roman"/>
                <w:sz w:val="20"/>
                <w:szCs w:val="20"/>
                <w:lang w:eastAsia="es-ES"/>
              </w:rPr>
              <w:t>”, por lo que ahora su mera inclusión en el objeto social no es suficiente.</w:t>
            </w:r>
          </w:p>
        </w:tc>
      </w:tr>
      <w:tr w:rsidR="00917804" w:rsidRPr="000E48AA" w14:paraId="5F4C1235" w14:textId="77777777" w:rsidTr="00917804">
        <w:trPr>
          <w:trHeight w:val="191"/>
          <w:jc w:val="center"/>
        </w:trPr>
        <w:tc>
          <w:tcPr>
            <w:tcW w:w="1678" w:type="dxa"/>
            <w:vMerge/>
            <w:tcBorders>
              <w:left w:val="single" w:sz="18" w:space="0" w:color="auto"/>
              <w:right w:val="single" w:sz="12" w:space="0" w:color="auto"/>
            </w:tcBorders>
            <w:shd w:val="clear" w:color="auto" w:fill="E7E6E6" w:themeFill="background2"/>
            <w:vAlign w:val="center"/>
          </w:tcPr>
          <w:p w14:paraId="05C23B5E" w14:textId="77777777" w:rsidR="00917804" w:rsidRDefault="00917804" w:rsidP="00917804">
            <w:pPr>
              <w:spacing w:before="60" w:after="0" w:line="200" w:lineRule="exact"/>
              <w:jc w:val="center"/>
              <w:rPr>
                <w:rFonts w:ascii="Times New Roman" w:eastAsia="Times New Roman" w:hAnsi="Times New Roman" w:cs="Times New Roman"/>
                <w:b/>
                <w:lang w:eastAsia="es-ES"/>
              </w:rPr>
            </w:pPr>
          </w:p>
        </w:tc>
        <w:tc>
          <w:tcPr>
            <w:tcW w:w="5810" w:type="dxa"/>
            <w:tcBorders>
              <w:top w:val="single" w:sz="8" w:space="0" w:color="auto"/>
              <w:left w:val="single" w:sz="12" w:space="0" w:color="auto"/>
              <w:right w:val="single" w:sz="18" w:space="0" w:color="auto"/>
            </w:tcBorders>
            <w:shd w:val="clear" w:color="auto" w:fill="E7E6E6" w:themeFill="background2"/>
            <w:vAlign w:val="center"/>
          </w:tcPr>
          <w:p w14:paraId="076C42D1" w14:textId="5EBC07B9" w:rsidR="00917804" w:rsidRDefault="00917804" w:rsidP="00F37543">
            <w:pPr>
              <w:spacing w:before="20" w:after="60" w:line="180" w:lineRule="exact"/>
              <w:jc w:val="both"/>
              <w:rPr>
                <w:rFonts w:ascii="Times New Roman" w:eastAsia="Times New Roman" w:hAnsi="Times New Roman" w:cs="Times New Roman"/>
                <w:sz w:val="18"/>
                <w:szCs w:val="18"/>
                <w:lang w:eastAsia="es-ES"/>
              </w:rPr>
            </w:pPr>
            <w:r w:rsidRPr="005F6DC0">
              <w:rPr>
                <w:rFonts w:ascii="Times New Roman" w:eastAsia="Times New Roman" w:hAnsi="Times New Roman" w:cs="Times New Roman"/>
                <w:sz w:val="20"/>
                <w:szCs w:val="20"/>
                <w:lang w:eastAsia="es-ES"/>
              </w:rPr>
              <w:t>Parece que se excluyen las SOCIMI, que no responden a una estrategia especulativa, sino que son una estructura societaria-fiscal para la gestión a largo plazo de rentas de alquiler (salvo que la limitación pudiere serles de aplicación por su otra condición de gran tenedor).</w:t>
            </w:r>
          </w:p>
        </w:tc>
      </w:tr>
      <w:tr w:rsidR="00917804" w:rsidRPr="000E48AA" w14:paraId="508E6174" w14:textId="77777777" w:rsidTr="00ED12D5">
        <w:trPr>
          <w:trHeight w:val="301"/>
          <w:jc w:val="center"/>
        </w:trPr>
        <w:tc>
          <w:tcPr>
            <w:tcW w:w="1678" w:type="dxa"/>
            <w:vMerge w:val="restart"/>
            <w:tcBorders>
              <w:top w:val="single" w:sz="12" w:space="0" w:color="auto"/>
              <w:left w:val="single" w:sz="18" w:space="0" w:color="auto"/>
              <w:right w:val="single" w:sz="12" w:space="0" w:color="auto"/>
            </w:tcBorders>
            <w:vAlign w:val="center"/>
          </w:tcPr>
          <w:p w14:paraId="73487EC5" w14:textId="0E44067C" w:rsidR="00917804" w:rsidRPr="00797A56" w:rsidRDefault="00917804" w:rsidP="00917804">
            <w:pPr>
              <w:spacing w:before="60" w:after="60" w:line="180" w:lineRule="exact"/>
              <w:jc w:val="center"/>
              <w:rPr>
                <w:rFonts w:ascii="Times New Roman" w:eastAsia="Times New Roman" w:hAnsi="Times New Roman" w:cs="Times New Roman"/>
                <w:b/>
                <w:sz w:val="20"/>
                <w:szCs w:val="20"/>
                <w:lang w:eastAsia="es-ES"/>
              </w:rPr>
            </w:pPr>
            <w:r w:rsidRPr="00797A56">
              <w:rPr>
                <w:rFonts w:ascii="Times New Roman" w:eastAsia="Times New Roman" w:hAnsi="Times New Roman" w:cs="Times New Roman"/>
                <w:b/>
                <w:sz w:val="20"/>
                <w:szCs w:val="20"/>
                <w:lang w:eastAsia="es-ES"/>
              </w:rPr>
              <w:t>Documentación</w:t>
            </w:r>
            <w:r>
              <w:rPr>
                <w:rFonts w:ascii="Times New Roman" w:eastAsia="Times New Roman" w:hAnsi="Times New Roman" w:cs="Times New Roman"/>
                <w:b/>
                <w:sz w:val="20"/>
                <w:szCs w:val="20"/>
                <w:lang w:eastAsia="es-ES"/>
              </w:rPr>
              <w:t xml:space="preserve"> para acreditar </w:t>
            </w:r>
            <w:r w:rsidRPr="007670A4">
              <w:rPr>
                <w:rFonts w:ascii="Times New Roman" w:eastAsia="Times New Roman" w:hAnsi="Times New Roman" w:cs="Times New Roman"/>
                <w:b/>
                <w:sz w:val="18"/>
                <w:szCs w:val="18"/>
                <w:lang w:eastAsia="es-ES"/>
              </w:rPr>
              <w:t>que no</w:t>
            </w:r>
            <w:r>
              <w:rPr>
                <w:rFonts w:ascii="Times New Roman" w:eastAsia="Times New Roman" w:hAnsi="Times New Roman" w:cs="Times New Roman"/>
                <w:b/>
                <w:sz w:val="18"/>
                <w:szCs w:val="18"/>
                <w:lang w:eastAsia="es-ES"/>
              </w:rPr>
              <w:t xml:space="preserve"> se</w:t>
            </w:r>
            <w:r w:rsidRPr="007670A4">
              <w:rPr>
                <w:rFonts w:ascii="Times New Roman" w:eastAsia="Times New Roman" w:hAnsi="Times New Roman" w:cs="Times New Roman"/>
                <w:b/>
                <w:sz w:val="18"/>
                <w:szCs w:val="18"/>
                <w:lang w:eastAsia="es-ES"/>
              </w:rPr>
              <w:t xml:space="preserve"> es gran tenedor</w:t>
            </w:r>
          </w:p>
        </w:tc>
        <w:tc>
          <w:tcPr>
            <w:tcW w:w="5810" w:type="dxa"/>
            <w:tcBorders>
              <w:top w:val="single" w:sz="12" w:space="0" w:color="auto"/>
              <w:left w:val="single" w:sz="12" w:space="0" w:color="auto"/>
              <w:bottom w:val="single" w:sz="4" w:space="0" w:color="auto"/>
              <w:right w:val="single" w:sz="18" w:space="0" w:color="auto"/>
            </w:tcBorders>
            <w:vAlign w:val="center"/>
          </w:tcPr>
          <w:p w14:paraId="3F3432D1" w14:textId="0C8D2919" w:rsidR="00917804" w:rsidRPr="003521E9" w:rsidRDefault="00917804" w:rsidP="00917804">
            <w:pPr>
              <w:spacing w:before="60" w:after="20" w:line="180" w:lineRule="exact"/>
              <w:jc w:val="center"/>
              <w:rPr>
                <w:rFonts w:ascii="Times New Roman" w:eastAsia="Times New Roman" w:hAnsi="Times New Roman" w:cs="Times New Roman"/>
                <w:sz w:val="18"/>
                <w:szCs w:val="18"/>
                <w:lang w:eastAsia="es-ES"/>
              </w:rPr>
            </w:pPr>
            <w:r w:rsidRPr="003521E9">
              <w:rPr>
                <w:rFonts w:ascii="Times New Roman" w:eastAsia="Times New Roman" w:hAnsi="Times New Roman" w:cs="Times New Roman"/>
                <w:color w:val="000000"/>
                <w:sz w:val="18"/>
                <w:szCs w:val="18"/>
                <w:lang w:eastAsia="es-ES"/>
              </w:rPr>
              <w:t>Para determinar si la sociedad adquirente tiene la condición de gran tenedor, deberá aportar certificación del Registro de la Propiedad [no será necesario si la contraprestación no es inferior al 70% de la tasación]</w:t>
            </w:r>
          </w:p>
        </w:tc>
      </w:tr>
      <w:tr w:rsidR="00917804" w:rsidRPr="000E48AA" w14:paraId="5680952D" w14:textId="77777777" w:rsidTr="00ED12D5">
        <w:trPr>
          <w:trHeight w:val="300"/>
          <w:jc w:val="center"/>
        </w:trPr>
        <w:tc>
          <w:tcPr>
            <w:tcW w:w="1678" w:type="dxa"/>
            <w:vMerge/>
            <w:tcBorders>
              <w:left w:val="single" w:sz="18" w:space="0" w:color="auto"/>
              <w:right w:val="single" w:sz="12" w:space="0" w:color="auto"/>
            </w:tcBorders>
            <w:vAlign w:val="center"/>
          </w:tcPr>
          <w:p w14:paraId="5B80C295" w14:textId="77777777" w:rsidR="00917804" w:rsidRPr="00797A56" w:rsidRDefault="00917804" w:rsidP="00917804">
            <w:pPr>
              <w:spacing w:before="60" w:after="60" w:line="20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bottom w:val="single" w:sz="4" w:space="0" w:color="auto"/>
              <w:right w:val="single" w:sz="18" w:space="0" w:color="auto"/>
            </w:tcBorders>
            <w:vAlign w:val="center"/>
          </w:tcPr>
          <w:p w14:paraId="458FFD69" w14:textId="58818122" w:rsidR="00917804" w:rsidRDefault="00917804" w:rsidP="00917804">
            <w:pPr>
              <w:spacing w:before="20" w:after="20" w:line="180" w:lineRule="exact"/>
              <w:jc w:val="both"/>
              <w:rPr>
                <w:rFonts w:ascii="Times New Roman" w:eastAsia="Times New Roman" w:hAnsi="Times New Roman" w:cs="Times New Roman"/>
                <w:color w:val="000000"/>
                <w:sz w:val="18"/>
                <w:szCs w:val="18"/>
                <w:lang w:eastAsia="es-ES"/>
              </w:rPr>
            </w:pPr>
            <w:r>
              <w:rPr>
                <w:rFonts w:ascii="Times New Roman" w:eastAsia="Times New Roman" w:hAnsi="Times New Roman" w:cs="Times New Roman"/>
                <w:color w:val="000000"/>
                <w:sz w:val="18"/>
                <w:szCs w:val="18"/>
                <w:lang w:eastAsia="es-ES"/>
              </w:rPr>
              <w:t>La aportación por el adquirente de la certificación registral puede gestionarse desde la notaría, en la misma sede registral en la que se obtienen las informaciones continuadas y con cargo al wallet de 18,19 € (IVA incluido):</w:t>
            </w:r>
          </w:p>
          <w:p w14:paraId="75B5B228" w14:textId="12497C26" w:rsidR="00917804" w:rsidRPr="00AF6F02" w:rsidRDefault="00917804" w:rsidP="00917804">
            <w:pPr>
              <w:spacing w:before="20" w:after="40" w:line="180" w:lineRule="exact"/>
              <w:jc w:val="both"/>
              <w:rPr>
                <w:rFonts w:ascii="Times New Roman" w:eastAsia="Times New Roman" w:hAnsi="Times New Roman" w:cs="Times New Roman"/>
                <w:bCs/>
                <w:color w:val="000000"/>
                <w:sz w:val="18"/>
                <w:szCs w:val="18"/>
                <w:lang w:eastAsia="es-ES"/>
              </w:rPr>
            </w:pPr>
            <w:hyperlink r:id="rId14" w:history="1">
              <w:r w:rsidRPr="00AF6F02">
                <w:rPr>
                  <w:rStyle w:val="Hipervnculo"/>
                  <w:rFonts w:ascii="Times New Roman" w:eastAsia="Times New Roman" w:hAnsi="Times New Roman" w:cs="Times New Roman"/>
                  <w:bCs/>
                  <w:sz w:val="18"/>
                  <w:szCs w:val="18"/>
                  <w:lang w:eastAsia="es-ES"/>
                </w:rPr>
                <w:t>Registro de la Propiedad /Ver toda la publicidad / Certificaciones /</w:t>
              </w:r>
              <w:r w:rsidRPr="00442268">
                <w:rPr>
                  <w:rStyle w:val="Hipervnculo"/>
                  <w:rFonts w:ascii="Times New Roman" w:eastAsia="Times New Roman" w:hAnsi="Times New Roman" w:cs="Times New Roman"/>
                  <w:bCs/>
                  <w:sz w:val="18"/>
                  <w:szCs w:val="18"/>
                  <w:lang w:eastAsia="es-ES"/>
                </w:rPr>
                <w:t>Certificación de localización de la Ley 12/2023 por el derecho a la vivienda</w:t>
              </w:r>
            </w:hyperlink>
          </w:p>
        </w:tc>
      </w:tr>
      <w:tr w:rsidR="00917804" w:rsidRPr="000E48AA" w14:paraId="7828FE49" w14:textId="77777777" w:rsidTr="00ED12D5">
        <w:trPr>
          <w:trHeight w:val="382"/>
          <w:jc w:val="center"/>
        </w:trPr>
        <w:tc>
          <w:tcPr>
            <w:tcW w:w="1678" w:type="dxa"/>
            <w:vMerge/>
            <w:tcBorders>
              <w:left w:val="single" w:sz="18" w:space="0" w:color="auto"/>
              <w:bottom w:val="single" w:sz="12" w:space="0" w:color="auto"/>
              <w:right w:val="single" w:sz="12" w:space="0" w:color="auto"/>
            </w:tcBorders>
            <w:vAlign w:val="center"/>
          </w:tcPr>
          <w:p w14:paraId="3C48C27F" w14:textId="77777777" w:rsidR="00917804" w:rsidRPr="00797A56" w:rsidRDefault="00917804" w:rsidP="00917804">
            <w:pPr>
              <w:spacing w:before="60" w:after="60" w:line="20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bottom w:val="single" w:sz="12" w:space="0" w:color="auto"/>
              <w:right w:val="single" w:sz="18" w:space="0" w:color="auto"/>
            </w:tcBorders>
            <w:vAlign w:val="center"/>
          </w:tcPr>
          <w:p w14:paraId="36023147" w14:textId="77777777" w:rsidR="00917804" w:rsidRPr="00AF509D" w:rsidRDefault="00917804" w:rsidP="00917804">
            <w:pPr>
              <w:spacing w:before="20" w:after="20" w:line="160" w:lineRule="exact"/>
              <w:jc w:val="both"/>
              <w:rPr>
                <w:rFonts w:ascii="Times New Roman" w:eastAsia="Times New Roman" w:hAnsi="Times New Roman" w:cs="Times New Roman"/>
                <w:color w:val="000000"/>
                <w:sz w:val="18"/>
                <w:szCs w:val="18"/>
                <w:lang w:eastAsia="es-ES"/>
              </w:rPr>
            </w:pPr>
            <w:r w:rsidRPr="00AF509D">
              <w:rPr>
                <w:rFonts w:ascii="Times New Roman" w:eastAsia="Times New Roman" w:hAnsi="Times New Roman" w:cs="Times New Roman"/>
                <w:color w:val="000000"/>
                <w:sz w:val="18"/>
                <w:szCs w:val="18"/>
                <w:lang w:eastAsia="es-ES"/>
              </w:rPr>
              <w:t>Es conveniente incorporar la certificación a la escritura.</w:t>
            </w:r>
          </w:p>
          <w:p w14:paraId="0D294564" w14:textId="77777777" w:rsidR="00917804" w:rsidRPr="00AF509D" w:rsidRDefault="00917804" w:rsidP="00917804">
            <w:pPr>
              <w:spacing w:before="20" w:after="20" w:line="160" w:lineRule="exact"/>
              <w:jc w:val="both"/>
              <w:rPr>
                <w:rFonts w:ascii="Times New Roman" w:eastAsia="Times New Roman" w:hAnsi="Times New Roman" w:cs="Times New Roman"/>
                <w:color w:val="000000"/>
                <w:sz w:val="18"/>
                <w:szCs w:val="18"/>
                <w:lang w:eastAsia="es-ES"/>
              </w:rPr>
            </w:pPr>
            <w:r w:rsidRPr="00AF509D">
              <w:rPr>
                <w:rFonts w:ascii="Times New Roman" w:eastAsia="Times New Roman" w:hAnsi="Times New Roman" w:cs="Times New Roman"/>
                <w:color w:val="000000"/>
                <w:sz w:val="18"/>
                <w:szCs w:val="18"/>
                <w:lang w:eastAsia="es-ES"/>
              </w:rPr>
              <w:t>Otra posibilidad sería que la misma aparezca incorporada a un acta notarial a la que remitirse mediante un testimonio en relación [con lo que se conjuga la salvaguarda de la responsabilidad y la privacidad del adquirente].</w:t>
            </w:r>
          </w:p>
          <w:p w14:paraId="4E5A457F" w14:textId="0357C395" w:rsidR="00917804" w:rsidRPr="00797A56" w:rsidRDefault="00917804" w:rsidP="00917804">
            <w:pPr>
              <w:spacing w:after="60" w:line="160" w:lineRule="exact"/>
              <w:jc w:val="both"/>
              <w:rPr>
                <w:rFonts w:ascii="Times New Roman" w:eastAsia="Times New Roman" w:hAnsi="Times New Roman" w:cs="Times New Roman"/>
                <w:color w:val="000000"/>
                <w:lang w:eastAsia="es-ES"/>
              </w:rPr>
            </w:pPr>
            <w:r w:rsidRPr="00AF509D">
              <w:rPr>
                <w:rFonts w:ascii="Times New Roman" w:eastAsia="Times New Roman" w:hAnsi="Times New Roman" w:cs="Times New Roman"/>
                <w:color w:val="000000"/>
                <w:sz w:val="18"/>
                <w:szCs w:val="18"/>
                <w:lang w:eastAsia="es-ES"/>
              </w:rPr>
              <w:t>También podría simplemente reseñarse el CSV de la certificación registral [pero es menos fiable</w:t>
            </w:r>
            <w:r>
              <w:rPr>
                <w:rFonts w:ascii="Times New Roman" w:eastAsia="Times New Roman" w:hAnsi="Times New Roman" w:cs="Times New Roman"/>
                <w:color w:val="000000"/>
                <w:sz w:val="18"/>
                <w:szCs w:val="18"/>
                <w:lang w:eastAsia="es-ES"/>
              </w:rPr>
              <w:t xml:space="preserve"> para la salvaguarda de la responsabilidad</w:t>
            </w:r>
            <w:r w:rsidRPr="00AF509D">
              <w:rPr>
                <w:rFonts w:ascii="Times New Roman" w:eastAsia="Times New Roman" w:hAnsi="Times New Roman" w:cs="Times New Roman"/>
                <w:color w:val="000000"/>
                <w:sz w:val="18"/>
                <w:szCs w:val="18"/>
                <w:lang w:eastAsia="es-ES"/>
              </w:rPr>
              <w:t>].</w:t>
            </w:r>
          </w:p>
        </w:tc>
      </w:tr>
      <w:tr w:rsidR="00E21519" w:rsidRPr="000E48AA" w14:paraId="2D8D78C8" w14:textId="77777777" w:rsidTr="00E21519">
        <w:trPr>
          <w:trHeight w:val="332"/>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2F0C1EB6" w14:textId="26D65C58" w:rsidR="00E21519" w:rsidRPr="00AF11DD" w:rsidRDefault="00E21519" w:rsidP="00917804">
            <w:pPr>
              <w:spacing w:before="60" w:after="60" w:line="180" w:lineRule="exact"/>
              <w:jc w:val="center"/>
              <w:rPr>
                <w:rFonts w:ascii="Times New Roman" w:eastAsia="Times New Roman" w:hAnsi="Times New Roman" w:cs="Times New Roman"/>
                <w:sz w:val="16"/>
                <w:szCs w:val="16"/>
                <w:lang w:eastAsia="es-ES"/>
              </w:rPr>
            </w:pPr>
            <w:bookmarkStart w:id="3" w:name="_Hlk242615702"/>
            <w:r w:rsidRPr="00797A56">
              <w:rPr>
                <w:rFonts w:ascii="Times New Roman" w:eastAsia="Times New Roman" w:hAnsi="Times New Roman" w:cs="Times New Roman"/>
                <w:b/>
                <w:sz w:val="20"/>
                <w:szCs w:val="20"/>
                <w:lang w:eastAsia="es-ES"/>
              </w:rPr>
              <w:t>Documentación</w:t>
            </w:r>
            <w:r>
              <w:rPr>
                <w:rFonts w:ascii="Times New Roman" w:eastAsia="Times New Roman" w:hAnsi="Times New Roman" w:cs="Times New Roman"/>
                <w:b/>
                <w:sz w:val="20"/>
                <w:szCs w:val="20"/>
                <w:lang w:eastAsia="es-ES"/>
              </w:rPr>
              <w:t xml:space="preserve"> para acreditar </w:t>
            </w:r>
            <w:r w:rsidRPr="007670A4">
              <w:rPr>
                <w:rFonts w:ascii="Times New Roman" w:eastAsia="Times New Roman" w:hAnsi="Times New Roman" w:cs="Times New Roman"/>
                <w:b/>
                <w:sz w:val="18"/>
                <w:szCs w:val="18"/>
                <w:lang w:eastAsia="es-ES"/>
              </w:rPr>
              <w:t>que la contraprestación no es inferior al 70% de la tasación</w:t>
            </w:r>
            <w:bookmarkEnd w:id="3"/>
          </w:p>
        </w:tc>
        <w:tc>
          <w:tcPr>
            <w:tcW w:w="5810" w:type="dxa"/>
            <w:tcBorders>
              <w:top w:val="single" w:sz="12" w:space="0" w:color="auto"/>
              <w:left w:val="single" w:sz="12" w:space="0" w:color="auto"/>
              <w:bottom w:val="single" w:sz="6" w:space="0" w:color="auto"/>
              <w:right w:val="single" w:sz="18" w:space="0" w:color="auto"/>
            </w:tcBorders>
            <w:shd w:val="clear" w:color="auto" w:fill="E7E6E6" w:themeFill="background2"/>
            <w:vAlign w:val="center"/>
          </w:tcPr>
          <w:p w14:paraId="7F02E80F" w14:textId="3D24D393" w:rsidR="00E21519" w:rsidRPr="003521E9" w:rsidRDefault="00E21519" w:rsidP="00917804">
            <w:pPr>
              <w:spacing w:before="60" w:after="20" w:line="180" w:lineRule="exact"/>
              <w:jc w:val="center"/>
              <w:rPr>
                <w:rFonts w:ascii="Times New Roman" w:eastAsia="Times New Roman" w:hAnsi="Times New Roman" w:cs="Times New Roman"/>
                <w:sz w:val="20"/>
                <w:szCs w:val="20"/>
                <w:lang w:eastAsia="es-ES"/>
              </w:rPr>
            </w:pPr>
            <w:r w:rsidRPr="003521E9">
              <w:rPr>
                <w:rFonts w:ascii="Times New Roman" w:eastAsia="Times New Roman" w:hAnsi="Times New Roman" w:cs="Times New Roman"/>
                <w:sz w:val="20"/>
                <w:szCs w:val="20"/>
                <w:lang w:eastAsia="es-ES"/>
              </w:rPr>
              <w:t xml:space="preserve">Para determinar si la contraprestación no es inferior al 70% del valor de tasación, la sociedad adquirente deberá aportar a una tasación por sociedad homologada e inscrita en el Banco de España </w:t>
            </w:r>
            <w:r w:rsidRPr="003521E9">
              <w:rPr>
                <w:rFonts w:ascii="Times New Roman" w:eastAsia="Times New Roman" w:hAnsi="Times New Roman" w:cs="Times New Roman"/>
                <w:color w:val="000000"/>
                <w:sz w:val="20"/>
                <w:szCs w:val="20"/>
                <w:lang w:eastAsia="es-ES"/>
              </w:rPr>
              <w:t>[no será necesario si acredita que no es gran tenedor]</w:t>
            </w:r>
          </w:p>
        </w:tc>
      </w:tr>
      <w:tr w:rsidR="00E21519" w:rsidRPr="000E48AA" w14:paraId="1752A50B" w14:textId="77777777" w:rsidTr="00E21519">
        <w:trPr>
          <w:trHeight w:val="332"/>
          <w:jc w:val="center"/>
        </w:trPr>
        <w:tc>
          <w:tcPr>
            <w:tcW w:w="1678" w:type="dxa"/>
            <w:vMerge/>
            <w:tcBorders>
              <w:left w:val="single" w:sz="18" w:space="0" w:color="auto"/>
              <w:right w:val="single" w:sz="12" w:space="0" w:color="auto"/>
            </w:tcBorders>
            <w:shd w:val="clear" w:color="auto" w:fill="E7E6E6" w:themeFill="background2"/>
            <w:vAlign w:val="center"/>
          </w:tcPr>
          <w:p w14:paraId="2F875F32" w14:textId="77777777" w:rsidR="00E21519" w:rsidRPr="00797A56" w:rsidRDefault="00E21519" w:rsidP="00917804">
            <w:pPr>
              <w:spacing w:before="60" w:after="60" w:line="180" w:lineRule="exact"/>
              <w:jc w:val="center"/>
              <w:rPr>
                <w:rFonts w:ascii="Times New Roman" w:eastAsia="Times New Roman" w:hAnsi="Times New Roman" w:cs="Times New Roman"/>
                <w:b/>
                <w:sz w:val="20"/>
                <w:szCs w:val="20"/>
                <w:lang w:eastAsia="es-ES"/>
              </w:rPr>
            </w:pPr>
          </w:p>
        </w:tc>
        <w:tc>
          <w:tcPr>
            <w:tcW w:w="5810" w:type="dxa"/>
            <w:tcBorders>
              <w:top w:val="single" w:sz="6" w:space="0" w:color="auto"/>
              <w:left w:val="single" w:sz="12" w:space="0" w:color="auto"/>
              <w:right w:val="single" w:sz="18" w:space="0" w:color="auto"/>
            </w:tcBorders>
            <w:shd w:val="clear" w:color="auto" w:fill="E7E6E6" w:themeFill="background2"/>
            <w:vAlign w:val="center"/>
          </w:tcPr>
          <w:p w14:paraId="41710042" w14:textId="77777777" w:rsidR="00E21519" w:rsidRDefault="003D3E59" w:rsidP="003B7DCD">
            <w:pPr>
              <w:spacing w:before="20" w:after="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Se discute si hay que aportar, además de la certificación que lo sintetiza, el informe entero:</w:t>
            </w:r>
          </w:p>
          <w:p w14:paraId="0AF2F3D6" w14:textId="77777777" w:rsidR="003D3E59" w:rsidRDefault="003D3E59" w:rsidP="003B7DCD">
            <w:pPr>
              <w:spacing w:after="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A favor del informe entero, que el precepto emplea precisamente esa palabra.</w:t>
            </w:r>
          </w:p>
          <w:p w14:paraId="775BC99E" w14:textId="1B765BBA" w:rsidR="003D3E59" w:rsidRPr="003521E9" w:rsidRDefault="003D3E59" w:rsidP="003B7DCD">
            <w:pPr>
              <w:spacing w:after="60" w:line="180" w:lineRule="exact"/>
              <w:jc w:val="both"/>
              <w:rPr>
                <w:rFonts w:ascii="Times New Roman" w:eastAsia="Times New Roman" w:hAnsi="Times New Roman" w:cs="Times New Roman"/>
                <w:sz w:val="20"/>
                <w:szCs w:val="20"/>
                <w:lang w:eastAsia="es-ES"/>
              </w:rPr>
            </w:pPr>
            <w:r>
              <w:rPr>
                <w:rFonts w:ascii="Times New Roman" w:eastAsia="Times New Roman" w:hAnsi="Times New Roman" w:cs="Times New Roman"/>
                <w:sz w:val="20"/>
                <w:szCs w:val="20"/>
                <w:lang w:eastAsia="es-ES"/>
              </w:rPr>
              <w:t>- A favor</w:t>
            </w:r>
            <w:r w:rsidR="003B7DCD">
              <w:rPr>
                <w:rFonts w:ascii="Times New Roman" w:eastAsia="Times New Roman" w:hAnsi="Times New Roman" w:cs="Times New Roman"/>
                <w:sz w:val="20"/>
                <w:szCs w:val="20"/>
                <w:lang w:eastAsia="es-ES"/>
              </w:rPr>
              <w:t xml:space="preserve"> de la sola certificación, que el precepto dice que se hará por sociedad homologada pero no cómo haya de hacerse, además de que lo relevante es el valor.</w:t>
            </w:r>
          </w:p>
        </w:tc>
      </w:tr>
      <w:tr w:rsidR="00E21519" w:rsidRPr="000E48AA" w14:paraId="20C4DB72" w14:textId="77777777" w:rsidTr="00ED12D5">
        <w:trPr>
          <w:trHeight w:val="369"/>
          <w:jc w:val="center"/>
        </w:trPr>
        <w:tc>
          <w:tcPr>
            <w:tcW w:w="1678" w:type="dxa"/>
            <w:vMerge/>
            <w:tcBorders>
              <w:left w:val="single" w:sz="18" w:space="0" w:color="auto"/>
              <w:right w:val="single" w:sz="12" w:space="0" w:color="auto"/>
            </w:tcBorders>
            <w:shd w:val="clear" w:color="auto" w:fill="E7E6E6" w:themeFill="background2"/>
            <w:vAlign w:val="center"/>
          </w:tcPr>
          <w:p w14:paraId="0F2DE6C4" w14:textId="77777777" w:rsidR="00E21519" w:rsidRPr="00797A56" w:rsidRDefault="00E21519" w:rsidP="00917804">
            <w:pPr>
              <w:spacing w:before="60" w:after="60" w:line="20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right w:val="single" w:sz="18" w:space="0" w:color="auto"/>
            </w:tcBorders>
            <w:shd w:val="clear" w:color="auto" w:fill="E7E6E6" w:themeFill="background2"/>
            <w:vAlign w:val="center"/>
          </w:tcPr>
          <w:p w14:paraId="6EFAA625" w14:textId="1F71A875" w:rsidR="00E21519" w:rsidRPr="005E54A9" w:rsidRDefault="00E21519" w:rsidP="005E54A9">
            <w:pPr>
              <w:spacing w:before="20" w:after="20" w:line="180" w:lineRule="exact"/>
              <w:jc w:val="both"/>
              <w:rPr>
                <w:rFonts w:ascii="Times New Roman" w:eastAsia="Times New Roman" w:hAnsi="Times New Roman" w:cs="Times New Roman"/>
                <w:color w:val="000000"/>
                <w:sz w:val="18"/>
                <w:szCs w:val="18"/>
                <w:lang w:eastAsia="es-ES"/>
              </w:rPr>
            </w:pPr>
            <w:r w:rsidRPr="005E54A9">
              <w:rPr>
                <w:rFonts w:ascii="Times New Roman" w:eastAsia="Times New Roman" w:hAnsi="Times New Roman" w:cs="Times New Roman"/>
                <w:color w:val="000000"/>
                <w:sz w:val="18"/>
                <w:szCs w:val="18"/>
                <w:lang w:eastAsia="es-ES"/>
              </w:rPr>
              <w:t>Es conveniente incorporar la certificación a la escritura</w:t>
            </w:r>
            <w:r w:rsidR="005E54A9" w:rsidRPr="005E54A9">
              <w:rPr>
                <w:rFonts w:ascii="Times New Roman" w:eastAsia="Times New Roman" w:hAnsi="Times New Roman" w:cs="Times New Roman"/>
                <w:color w:val="000000"/>
                <w:sz w:val="18"/>
                <w:szCs w:val="18"/>
                <w:lang w:eastAsia="es-ES"/>
              </w:rPr>
              <w:t xml:space="preserve"> (y ya veremos si el informe)</w:t>
            </w:r>
            <w:r w:rsidRPr="005E54A9">
              <w:rPr>
                <w:rFonts w:ascii="Times New Roman" w:eastAsia="Times New Roman" w:hAnsi="Times New Roman" w:cs="Times New Roman"/>
                <w:color w:val="000000"/>
                <w:sz w:val="18"/>
                <w:szCs w:val="18"/>
                <w:lang w:eastAsia="es-ES"/>
              </w:rPr>
              <w:t>, incluso en el caso de remisión a la tasación incorporada al eventual préstamo hipotecario subsiguiente</w:t>
            </w:r>
            <w:r w:rsidR="005E54A9">
              <w:rPr>
                <w:rFonts w:ascii="Times New Roman" w:eastAsia="Times New Roman" w:hAnsi="Times New Roman" w:cs="Times New Roman"/>
                <w:color w:val="000000"/>
                <w:sz w:val="18"/>
                <w:szCs w:val="18"/>
                <w:lang w:eastAsia="es-ES"/>
              </w:rPr>
              <w:t>.</w:t>
            </w:r>
          </w:p>
        </w:tc>
      </w:tr>
      <w:tr w:rsidR="00E21519" w:rsidRPr="000E48AA" w14:paraId="47F44915" w14:textId="77777777" w:rsidTr="00ED12D5">
        <w:trPr>
          <w:trHeight w:val="263"/>
          <w:jc w:val="center"/>
        </w:trPr>
        <w:tc>
          <w:tcPr>
            <w:tcW w:w="1678" w:type="dxa"/>
            <w:vMerge/>
            <w:tcBorders>
              <w:left w:val="single" w:sz="18" w:space="0" w:color="auto"/>
              <w:bottom w:val="single" w:sz="12" w:space="0" w:color="auto"/>
              <w:right w:val="single" w:sz="12" w:space="0" w:color="auto"/>
            </w:tcBorders>
            <w:shd w:val="clear" w:color="auto" w:fill="E7E6E6" w:themeFill="background2"/>
            <w:vAlign w:val="center"/>
          </w:tcPr>
          <w:p w14:paraId="3F469542" w14:textId="77777777" w:rsidR="00E21519" w:rsidRPr="00EB34B8" w:rsidRDefault="00E21519" w:rsidP="00917804">
            <w:pPr>
              <w:spacing w:before="60" w:after="60" w:line="240" w:lineRule="auto"/>
              <w:jc w:val="center"/>
              <w:rPr>
                <w:rFonts w:ascii="Times New Roman" w:eastAsia="Times New Roman" w:hAnsi="Times New Roman" w:cs="Times New Roman"/>
                <w:b/>
                <w:lang w:eastAsia="es-ES"/>
              </w:rPr>
            </w:pPr>
          </w:p>
        </w:tc>
        <w:tc>
          <w:tcPr>
            <w:tcW w:w="5810" w:type="dxa"/>
            <w:tcBorders>
              <w:left w:val="single" w:sz="12" w:space="0" w:color="auto"/>
              <w:bottom w:val="single" w:sz="12" w:space="0" w:color="auto"/>
              <w:right w:val="single" w:sz="18" w:space="0" w:color="auto"/>
            </w:tcBorders>
            <w:shd w:val="clear" w:color="auto" w:fill="E7E6E6" w:themeFill="background2"/>
            <w:vAlign w:val="center"/>
          </w:tcPr>
          <w:p w14:paraId="11D8DF1E" w14:textId="665858E2" w:rsidR="00E21519" w:rsidRPr="0050577B" w:rsidRDefault="00E21519" w:rsidP="003D3E59">
            <w:pPr>
              <w:spacing w:before="40" w:after="60" w:line="160" w:lineRule="exact"/>
              <w:jc w:val="both"/>
              <w:rPr>
                <w:rFonts w:ascii="Times New Roman" w:eastAsia="Times New Roman" w:hAnsi="Times New Roman" w:cs="Times New Roman"/>
                <w:sz w:val="16"/>
                <w:szCs w:val="16"/>
                <w:lang w:eastAsia="es-ES"/>
              </w:rPr>
            </w:pPr>
            <w:r w:rsidRPr="0050577B">
              <w:rPr>
                <w:rFonts w:ascii="Times New Roman" w:eastAsia="Times New Roman" w:hAnsi="Times New Roman" w:cs="Times New Roman"/>
                <w:sz w:val="18"/>
                <w:szCs w:val="18"/>
                <w:lang w:eastAsia="es-ES"/>
              </w:rPr>
              <w:t>El informe técnico de tasación, así como el certificado que lo sintetiza caducan a los 6 meses y no necesitan visado colegial</w:t>
            </w:r>
            <w:r w:rsidRPr="0050577B">
              <w:rPr>
                <w:rFonts w:ascii="Times New Roman" w:eastAsia="Times New Roman" w:hAnsi="Times New Roman" w:cs="Times New Roman"/>
                <w:sz w:val="16"/>
                <w:szCs w:val="16"/>
                <w:lang w:eastAsia="es-ES"/>
              </w:rPr>
              <w:t xml:space="preserve"> (</w:t>
            </w:r>
            <w:hyperlink r:id="rId15" w:anchor="a8" w:history="1">
              <w:r w:rsidRPr="0050577B">
                <w:rPr>
                  <w:rStyle w:val="Hipervnculo"/>
                  <w:rFonts w:ascii="Times New Roman" w:eastAsia="Times New Roman" w:hAnsi="Times New Roman" w:cs="Times New Roman"/>
                  <w:sz w:val="16"/>
                  <w:szCs w:val="16"/>
                  <w:lang w:eastAsia="es-ES"/>
                </w:rPr>
                <w:t>art. 8 Decreto 716/2009</w:t>
              </w:r>
            </w:hyperlink>
            <w:r w:rsidRPr="0050577B">
              <w:rPr>
                <w:rFonts w:ascii="Times New Roman" w:eastAsia="Times New Roman" w:hAnsi="Times New Roman" w:cs="Times New Roman"/>
                <w:sz w:val="16"/>
                <w:szCs w:val="16"/>
                <w:lang w:eastAsia="es-ES"/>
              </w:rPr>
              <w:t>)</w:t>
            </w:r>
            <w:r w:rsidR="005E54A9">
              <w:rPr>
                <w:rFonts w:ascii="Times New Roman" w:eastAsia="Times New Roman" w:hAnsi="Times New Roman" w:cs="Times New Roman"/>
                <w:sz w:val="16"/>
                <w:szCs w:val="16"/>
                <w:lang w:eastAsia="es-ES"/>
              </w:rPr>
              <w:t>.</w:t>
            </w:r>
          </w:p>
        </w:tc>
      </w:tr>
      <w:tr w:rsidR="00917804" w:rsidRPr="000E48AA" w14:paraId="7D4B43F3" w14:textId="77777777" w:rsidTr="00581D27">
        <w:trPr>
          <w:trHeight w:val="451"/>
          <w:jc w:val="center"/>
        </w:trPr>
        <w:tc>
          <w:tcPr>
            <w:tcW w:w="1678" w:type="dxa"/>
            <w:tcBorders>
              <w:top w:val="single" w:sz="12" w:space="0" w:color="auto"/>
              <w:left w:val="single" w:sz="18" w:space="0" w:color="auto"/>
              <w:bottom w:val="single" w:sz="12" w:space="0" w:color="auto"/>
              <w:right w:val="single" w:sz="12" w:space="0" w:color="auto"/>
            </w:tcBorders>
            <w:vAlign w:val="center"/>
          </w:tcPr>
          <w:p w14:paraId="29407249" w14:textId="506509CF" w:rsidR="00917804" w:rsidRPr="00EB34B8" w:rsidRDefault="00917804" w:rsidP="00917804">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Acreditación excepciones</w:t>
            </w:r>
          </w:p>
        </w:tc>
        <w:tc>
          <w:tcPr>
            <w:tcW w:w="5810" w:type="dxa"/>
            <w:tcBorders>
              <w:top w:val="single" w:sz="12" w:space="0" w:color="auto"/>
              <w:left w:val="single" w:sz="12" w:space="0" w:color="auto"/>
              <w:bottom w:val="single" w:sz="12" w:space="0" w:color="auto"/>
              <w:right w:val="single" w:sz="18" w:space="0" w:color="auto"/>
            </w:tcBorders>
            <w:vAlign w:val="center"/>
          </w:tcPr>
          <w:p w14:paraId="286D1F01" w14:textId="5EDED054" w:rsidR="00917804" w:rsidRPr="0050577B" w:rsidRDefault="00917804" w:rsidP="00917804">
            <w:pPr>
              <w:spacing w:before="40" w:after="40" w:line="160" w:lineRule="exact"/>
              <w:jc w:val="center"/>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No se dice como deban acreditarse las excepciones de los arts 1-1 y 1-4, por lo que al menos se requiere declaración expresa en la escritura  y recomendable acompañarla de los documentos que la respalden</w:t>
            </w:r>
          </w:p>
        </w:tc>
      </w:tr>
    </w:tbl>
    <w:p w14:paraId="32A0B18A" w14:textId="30CD6C34" w:rsidR="00F37543" w:rsidRDefault="00F37543" w:rsidP="00FA04B7"/>
    <w:p w14:paraId="53BCD57D" w14:textId="77777777" w:rsidR="00F37543" w:rsidRDefault="00F37543">
      <w: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F37543" w:rsidRPr="000E48AA" w14:paraId="4A4C77F9" w14:textId="77777777" w:rsidTr="00110535">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567464D1" w14:textId="0CF362DA" w:rsidR="00F37543" w:rsidRPr="00B93DCD" w:rsidRDefault="00F37543" w:rsidP="00110535">
            <w:pPr>
              <w:spacing w:before="60" w:after="60" w:line="240" w:lineRule="exact"/>
              <w:jc w:val="center"/>
              <w:rPr>
                <w:rFonts w:ascii="Times New Roman" w:eastAsia="Times New Roman" w:hAnsi="Times New Roman" w:cs="Times New Roman"/>
                <w:b/>
                <w:color w:val="000000"/>
                <w:sz w:val="24"/>
                <w:szCs w:val="24"/>
                <w:lang w:eastAsia="es-ES"/>
              </w:rPr>
            </w:pPr>
            <w:r>
              <w:rPr>
                <w:rFonts w:ascii="Times New Roman" w:eastAsia="Times New Roman" w:hAnsi="Times New Roman" w:cs="Times New Roman"/>
                <w:b/>
                <w:color w:val="000000"/>
                <w:sz w:val="24"/>
                <w:szCs w:val="24"/>
                <w:lang w:eastAsia="es-ES"/>
              </w:rPr>
              <w:lastRenderedPageBreak/>
              <w:t>3</w:t>
            </w:r>
            <w:r w:rsidRPr="00B93DCD">
              <w:rPr>
                <w:rFonts w:ascii="Times New Roman" w:eastAsia="Times New Roman" w:hAnsi="Times New Roman" w:cs="Times New Roman"/>
                <w:b/>
                <w:color w:val="000000"/>
                <w:sz w:val="24"/>
                <w:szCs w:val="24"/>
                <w:lang w:eastAsia="es-ES"/>
              </w:rPr>
              <w:t xml:space="preserve">. </w:t>
            </w:r>
            <w:bookmarkStart w:id="4" w:name="MODELOS"/>
            <w:bookmarkEnd w:id="4"/>
            <w:r>
              <w:fldChar w:fldCharType="begin"/>
            </w:r>
            <w:r>
              <w:instrText>HYPERLINK "https://www.boe.es/diario_boe/txt.php?id=BOE-A-2026-20823"</w:instrText>
            </w:r>
            <w:r>
              <w:fldChar w:fldCharType="separate"/>
            </w:r>
            <w:r w:rsidRPr="00B93DCD">
              <w:rPr>
                <w:rStyle w:val="Hipervnculo"/>
                <w:rFonts w:ascii="Times New Roman" w:eastAsia="Times New Roman" w:hAnsi="Times New Roman" w:cs="Times New Roman"/>
                <w:b/>
                <w:sz w:val="24"/>
                <w:szCs w:val="24"/>
                <w:lang w:eastAsia="es-ES"/>
              </w:rPr>
              <w:t>ARTÍCULO 1 DL 29/2026</w:t>
            </w:r>
            <w:r>
              <w:fldChar w:fldCharType="end"/>
            </w:r>
            <w:r w:rsidRPr="00B93DCD">
              <w:rPr>
                <w:rFonts w:ascii="Times New Roman" w:eastAsia="Times New Roman" w:hAnsi="Times New Roman" w:cs="Times New Roman"/>
                <w:b/>
                <w:color w:val="000000"/>
                <w:sz w:val="24"/>
                <w:szCs w:val="24"/>
                <w:lang w:eastAsia="es-ES"/>
              </w:rPr>
              <w:t xml:space="preserve">. </w:t>
            </w:r>
            <w:r>
              <w:rPr>
                <w:rFonts w:ascii="Times New Roman" w:eastAsia="Times New Roman" w:hAnsi="Times New Roman" w:cs="Times New Roman"/>
                <w:b/>
                <w:color w:val="000000"/>
                <w:sz w:val="24"/>
                <w:szCs w:val="24"/>
                <w:lang w:eastAsia="es-ES"/>
              </w:rPr>
              <w:t>MODELOS</w:t>
            </w:r>
            <w:r w:rsidRPr="00B93DCD">
              <w:rPr>
                <w:rFonts w:ascii="Times New Roman" w:eastAsia="Times New Roman" w:hAnsi="Times New Roman" w:cs="Times New Roman"/>
                <w:b/>
                <w:color w:val="000000"/>
                <w:sz w:val="24"/>
                <w:szCs w:val="24"/>
                <w:lang w:eastAsia="es-ES"/>
              </w:rPr>
              <w:t xml:space="preserve"> NOTARIAL</w:t>
            </w:r>
            <w:r>
              <w:rPr>
                <w:rFonts w:ascii="Times New Roman" w:eastAsia="Times New Roman" w:hAnsi="Times New Roman" w:cs="Times New Roman"/>
                <w:b/>
                <w:color w:val="000000"/>
                <w:sz w:val="24"/>
                <w:szCs w:val="24"/>
                <w:lang w:eastAsia="es-ES"/>
              </w:rPr>
              <w:t>ES</w:t>
            </w:r>
          </w:p>
        </w:tc>
      </w:tr>
      <w:tr w:rsidR="00F37543" w:rsidRPr="000E48AA" w14:paraId="7EA9468A" w14:textId="77777777" w:rsidTr="00377311">
        <w:trPr>
          <w:trHeight w:val="1675"/>
          <w:jc w:val="center"/>
        </w:trPr>
        <w:tc>
          <w:tcPr>
            <w:tcW w:w="1678" w:type="dxa"/>
            <w:tcBorders>
              <w:top w:val="single" w:sz="12" w:space="0" w:color="auto"/>
              <w:left w:val="single" w:sz="18" w:space="0" w:color="auto"/>
              <w:bottom w:val="single" w:sz="12" w:space="0" w:color="auto"/>
              <w:right w:val="single" w:sz="12" w:space="0" w:color="auto"/>
            </w:tcBorders>
            <w:shd w:val="clear" w:color="auto" w:fill="FFFFFF" w:themeFill="background1"/>
            <w:vAlign w:val="center"/>
          </w:tcPr>
          <w:p w14:paraId="4242C854" w14:textId="724D6795" w:rsidR="00F37543" w:rsidRPr="00AF509D" w:rsidRDefault="00F37543" w:rsidP="00F37543">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No gran tenedor: certificación registral</w:t>
            </w:r>
          </w:p>
        </w:tc>
        <w:tc>
          <w:tcPr>
            <w:tcW w:w="5810" w:type="dxa"/>
            <w:tcBorders>
              <w:top w:val="single" w:sz="12" w:space="0" w:color="auto"/>
              <w:left w:val="single" w:sz="12" w:space="0" w:color="auto"/>
              <w:bottom w:val="single" w:sz="12" w:space="0" w:color="auto"/>
              <w:right w:val="single" w:sz="18" w:space="0" w:color="auto"/>
            </w:tcBorders>
            <w:shd w:val="clear" w:color="auto" w:fill="FFFFFF" w:themeFill="background1"/>
            <w:vAlign w:val="center"/>
          </w:tcPr>
          <w:p w14:paraId="170C1CEE" w14:textId="1B0EF755" w:rsidR="00F37543" w:rsidRPr="00DD7DF9" w:rsidRDefault="00F37543" w:rsidP="00110535">
            <w:pPr>
              <w:spacing w:before="60" w:after="0" w:line="180" w:lineRule="exact"/>
              <w:jc w:val="both"/>
              <w:rPr>
                <w:rFonts w:ascii="Arial" w:eastAsia="Times New Roman" w:hAnsi="Arial" w:cs="Arial"/>
                <w:sz w:val="18"/>
                <w:szCs w:val="18"/>
                <w:lang w:eastAsia="es-ES"/>
              </w:rPr>
            </w:pPr>
            <w:r w:rsidRPr="00DD7DF9">
              <w:rPr>
                <w:rFonts w:ascii="Arial" w:eastAsia="Times New Roman" w:hAnsi="Arial" w:cs="Arial"/>
                <w:b/>
                <w:sz w:val="18"/>
                <w:szCs w:val="18"/>
                <w:lang w:eastAsia="es-ES"/>
              </w:rPr>
              <w:t>EXPOSICIÓN... F) Requisitos.-...</w:t>
            </w:r>
            <w:r w:rsidRPr="00DD7DF9">
              <w:rPr>
                <w:rFonts w:ascii="Arial" w:eastAsia="Times New Roman" w:hAnsi="Arial" w:cs="Arial"/>
                <w:sz w:val="18"/>
                <w:szCs w:val="18"/>
                <w:lang w:eastAsia="es-ES"/>
              </w:rPr>
              <w:t xml:space="preserve"> </w:t>
            </w:r>
            <w:r w:rsidRPr="00DD7DF9">
              <w:rPr>
                <w:rFonts w:ascii="Arial" w:eastAsia="Times New Roman" w:hAnsi="Arial" w:cs="Arial"/>
                <w:sz w:val="18"/>
                <w:szCs w:val="18"/>
                <w:u w:val="single"/>
                <w:lang w:eastAsia="es-ES"/>
              </w:rPr>
              <w:t>Tercero.- Limitación hasta el 31/12/2030 del artículo 1 del Decreto-ley 29/2026.-</w:t>
            </w:r>
            <w:r w:rsidRPr="00DD7DF9">
              <w:rPr>
                <w:rFonts w:ascii="Arial" w:eastAsia="Times New Roman" w:hAnsi="Arial" w:cs="Arial"/>
                <w:sz w:val="18"/>
                <w:szCs w:val="18"/>
                <w:lang w:eastAsia="es-ES"/>
              </w:rPr>
              <w:t xml:space="preserve"> La sociedad adquirente de la vivienda manifiesta que:</w:t>
            </w:r>
          </w:p>
          <w:p w14:paraId="46BE84D7" w14:textId="77777777" w:rsidR="00F37543" w:rsidRPr="00DD7DF9" w:rsidRDefault="00F37543" w:rsidP="00110535">
            <w:pPr>
              <w:spacing w:after="0" w:line="180" w:lineRule="exact"/>
              <w:jc w:val="both"/>
              <w:rPr>
                <w:rFonts w:ascii="Arial" w:eastAsia="Times New Roman" w:hAnsi="Arial" w:cs="Arial"/>
                <w:sz w:val="18"/>
                <w:szCs w:val="18"/>
                <w:lang w:eastAsia="es-ES"/>
              </w:rPr>
            </w:pPr>
            <w:r w:rsidRPr="00DD7DF9">
              <w:rPr>
                <w:rFonts w:ascii="Arial" w:eastAsia="Times New Roman" w:hAnsi="Arial" w:cs="Arial"/>
                <w:sz w:val="18"/>
                <w:szCs w:val="18"/>
                <w:lang w:eastAsia="es-ES"/>
              </w:rPr>
              <w:t>1º NO se dedica a adquirir inmuebles o carteras de préstamos hipotecarios impagados por un precio claramente inferior a su valor de tasación de mercado, siendo su principal actividad la de ***.</w:t>
            </w:r>
          </w:p>
          <w:p w14:paraId="15FB16A8" w14:textId="77777777" w:rsidR="00F37543" w:rsidRPr="00DD7DF9" w:rsidRDefault="00F37543" w:rsidP="00110535">
            <w:pPr>
              <w:spacing w:after="0" w:line="180" w:lineRule="exact"/>
              <w:jc w:val="both"/>
              <w:rPr>
                <w:rFonts w:ascii="Arial" w:eastAsia="Times New Roman" w:hAnsi="Arial" w:cs="Arial"/>
                <w:sz w:val="18"/>
                <w:szCs w:val="18"/>
                <w:lang w:eastAsia="es-ES"/>
              </w:rPr>
            </w:pPr>
            <w:r w:rsidRPr="00DD7DF9">
              <w:rPr>
                <w:rFonts w:ascii="Arial" w:eastAsia="Times New Roman" w:hAnsi="Arial" w:cs="Arial"/>
                <w:sz w:val="18"/>
                <w:szCs w:val="18"/>
                <w:lang w:eastAsia="es-ES"/>
              </w:rPr>
              <w:t>2º NO tiene la condición de gran tenedor (incluyendo</w:t>
            </w:r>
            <w:r w:rsidRPr="00DD7DF9">
              <w:rPr>
                <w:rFonts w:ascii="Times New Roman" w:eastAsia="Times New Roman" w:hAnsi="Times New Roman" w:cs="Times New Roman"/>
                <w:sz w:val="18"/>
                <w:szCs w:val="18"/>
                <w:lang w:eastAsia="es-ES"/>
              </w:rPr>
              <w:t xml:space="preserve"> </w:t>
            </w:r>
            <w:r w:rsidRPr="00DD7DF9">
              <w:rPr>
                <w:rFonts w:ascii="Arial" w:eastAsia="Times New Roman" w:hAnsi="Arial" w:cs="Arial"/>
                <w:sz w:val="18"/>
                <w:szCs w:val="18"/>
                <w:lang w:eastAsia="es-ES"/>
              </w:rPr>
              <w:t xml:space="preserve">las entidades integradas en su mismo grupo o que actúen por su cuenta) en los términos del </w:t>
            </w:r>
            <w:hyperlink r:id="rId16" w:anchor="a3" w:history="1">
              <w:r w:rsidRPr="00DD7DF9">
                <w:rPr>
                  <w:rStyle w:val="Hipervnculo"/>
                  <w:rFonts w:ascii="Arial" w:eastAsia="Times New Roman" w:hAnsi="Arial" w:cs="Arial"/>
                  <w:sz w:val="18"/>
                  <w:szCs w:val="18"/>
                  <w:lang w:eastAsia="es-ES"/>
                </w:rPr>
                <w:t>art. 3-k de la Ley 12/2023</w:t>
              </w:r>
            </w:hyperlink>
            <w:r w:rsidRPr="00DD7DF9">
              <w:rPr>
                <w:rFonts w:ascii="Arial" w:eastAsia="Times New Roman" w:hAnsi="Arial" w:cs="Arial"/>
                <w:sz w:val="18"/>
                <w:szCs w:val="18"/>
                <w:lang w:eastAsia="es-ES"/>
              </w:rPr>
              <w:t>, cualidad de gran tenedor que se alcanza por la titularidad de más de 10 inmuebles urbanos de uso residencial o de una superficie construida de más de 1.500 m2 de uso residencial, excluyendo garajes y trasteros.</w:t>
            </w:r>
          </w:p>
          <w:p w14:paraId="5CA0E9BF" w14:textId="77777777" w:rsidR="00F37543" w:rsidRPr="00DD7DF9" w:rsidRDefault="00F37543" w:rsidP="00110535">
            <w:pPr>
              <w:spacing w:after="0" w:line="180" w:lineRule="exact"/>
              <w:jc w:val="both"/>
              <w:rPr>
                <w:rFonts w:ascii="Arial" w:eastAsia="Times New Roman" w:hAnsi="Arial" w:cs="Arial"/>
                <w:sz w:val="18"/>
                <w:szCs w:val="18"/>
                <w:lang w:eastAsia="es-ES"/>
              </w:rPr>
            </w:pPr>
            <w:r w:rsidRPr="00DD7DF9">
              <w:rPr>
                <w:rFonts w:ascii="Arial" w:eastAsia="Times New Roman" w:hAnsi="Arial" w:cs="Arial"/>
                <w:sz w:val="18"/>
                <w:szCs w:val="18"/>
                <w:lang w:eastAsia="es-ES"/>
              </w:rPr>
              <w:t>*** Se me entrega e incorporo certificación registral acreditativa de tal circunstancia.</w:t>
            </w:r>
          </w:p>
          <w:p w14:paraId="24341F80" w14:textId="77777777" w:rsidR="00F37543" w:rsidRPr="00DD7DF9" w:rsidRDefault="00F37543" w:rsidP="00110535">
            <w:pPr>
              <w:pStyle w:val="Textoindependiente"/>
              <w:spacing w:after="20" w:line="180" w:lineRule="exact"/>
              <w:jc w:val="both"/>
              <w:rPr>
                <w:rFonts w:ascii="Arial" w:eastAsia="Times New Roman" w:hAnsi="Arial" w:cs="Times New Roman"/>
                <w:sz w:val="18"/>
                <w:szCs w:val="18"/>
                <w:lang w:val="es-ES_tradnl" w:eastAsia="es-ES"/>
              </w:rPr>
            </w:pPr>
            <w:r w:rsidRPr="00DD7DF9">
              <w:rPr>
                <w:rFonts w:ascii="Arial" w:eastAsia="Times New Roman" w:hAnsi="Arial" w:cs="Arial"/>
                <w:sz w:val="18"/>
                <w:szCs w:val="18"/>
                <w:lang w:eastAsia="es-ES"/>
              </w:rPr>
              <w:t>*** Se me aporta copia autorizada del acta autorizada por el Notario de Oviedo Vicente Martorell García, el día X, número Y de protocolo, que incorpora certificación registral de fecha Z acreditativa de tal circunstancia, de lo que doy testimonio parcial</w:t>
            </w:r>
            <w:r w:rsidRPr="00DD7DF9">
              <w:rPr>
                <w:rFonts w:ascii="Arial" w:eastAsia="Times New Roman" w:hAnsi="Arial" w:cs="Times New Roman"/>
                <w:sz w:val="18"/>
                <w:szCs w:val="18"/>
                <w:lang w:val="es-ES_tradnl" w:eastAsia="es-ES"/>
              </w:rPr>
              <w:t>, sin que en lo omitido haya nada que altere lo inserto.</w:t>
            </w:r>
          </w:p>
        </w:tc>
      </w:tr>
      <w:tr w:rsidR="00F37543" w:rsidRPr="000E48AA" w14:paraId="51BAE92B" w14:textId="77777777" w:rsidTr="005530F5">
        <w:trPr>
          <w:trHeight w:val="1591"/>
          <w:jc w:val="center"/>
        </w:trPr>
        <w:tc>
          <w:tcPr>
            <w:tcW w:w="1678"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3F04228E" w14:textId="2C8CE1EE" w:rsidR="00F37543" w:rsidRDefault="00F37543" w:rsidP="00110535">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Sí o no gran tenedor: certificado tasación</w:t>
            </w:r>
          </w:p>
        </w:tc>
        <w:tc>
          <w:tcPr>
            <w:tcW w:w="5810"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1CAE7655" w14:textId="25EFCA53" w:rsidR="00F37543" w:rsidRPr="00DD7DF9" w:rsidRDefault="00F37543" w:rsidP="00110535">
            <w:pPr>
              <w:pStyle w:val="Textoindependiente"/>
              <w:spacing w:before="40" w:after="0" w:line="180" w:lineRule="exact"/>
              <w:jc w:val="both"/>
              <w:rPr>
                <w:rFonts w:ascii="Arial" w:eastAsia="Times New Roman" w:hAnsi="Arial" w:cs="Times New Roman"/>
                <w:sz w:val="18"/>
                <w:szCs w:val="18"/>
                <w:lang w:val="es-ES_tradnl" w:eastAsia="es-ES"/>
              </w:rPr>
            </w:pPr>
            <w:r w:rsidRPr="00DD7DF9">
              <w:rPr>
                <w:rFonts w:ascii="Arial" w:eastAsia="Times New Roman" w:hAnsi="Arial" w:cs="Arial"/>
                <w:b/>
                <w:sz w:val="18"/>
                <w:szCs w:val="18"/>
                <w:lang w:eastAsia="es-ES"/>
              </w:rPr>
              <w:t>EXPOSICIÓN... F) Requisitos.-...</w:t>
            </w:r>
            <w:r w:rsidRPr="00DD7DF9">
              <w:rPr>
                <w:rFonts w:ascii="Arial" w:eastAsia="Times New Roman" w:hAnsi="Arial" w:cs="Arial"/>
                <w:sz w:val="18"/>
                <w:szCs w:val="18"/>
                <w:lang w:eastAsia="es-ES"/>
              </w:rPr>
              <w:t xml:space="preserve"> </w:t>
            </w:r>
            <w:r w:rsidRPr="00DD7DF9">
              <w:rPr>
                <w:rFonts w:ascii="Arial" w:eastAsia="Times New Roman" w:hAnsi="Arial" w:cs="Arial"/>
                <w:sz w:val="18"/>
                <w:szCs w:val="18"/>
                <w:u w:val="single"/>
                <w:lang w:eastAsia="es-ES"/>
              </w:rPr>
              <w:t>Tercero.- Limitación hasta el 31/12/2030 del art. 1 del Decreto-ley 29/2026.-</w:t>
            </w:r>
            <w:r w:rsidRPr="00DD7DF9">
              <w:rPr>
                <w:rFonts w:ascii="Arial" w:eastAsia="Times New Roman" w:hAnsi="Arial" w:cs="Arial"/>
                <w:sz w:val="18"/>
                <w:szCs w:val="18"/>
                <w:lang w:eastAsia="es-ES"/>
              </w:rPr>
              <w:t xml:space="preserve"> La sociedad adquirente de la vivienda manifiesta </w:t>
            </w:r>
            <w:r w:rsidRPr="00DD7DF9">
              <w:rPr>
                <w:rFonts w:ascii="Arial" w:eastAsia="Times New Roman" w:hAnsi="Arial" w:cs="Times New Roman"/>
                <w:sz w:val="18"/>
                <w:szCs w:val="18"/>
                <w:lang w:val="es-ES_tradnl" w:eastAsia="es-ES"/>
              </w:rPr>
              <w:t>que:</w:t>
            </w:r>
          </w:p>
          <w:p w14:paraId="6BFE5F10" w14:textId="77777777" w:rsidR="00F37543" w:rsidRPr="00DD7DF9" w:rsidRDefault="00F37543" w:rsidP="00110535">
            <w:pPr>
              <w:spacing w:after="0" w:line="180" w:lineRule="exact"/>
              <w:jc w:val="both"/>
              <w:rPr>
                <w:rFonts w:ascii="Arial" w:eastAsia="Times New Roman" w:hAnsi="Arial" w:cs="Arial"/>
                <w:sz w:val="18"/>
                <w:szCs w:val="18"/>
                <w:lang w:eastAsia="es-ES"/>
              </w:rPr>
            </w:pPr>
            <w:r w:rsidRPr="00DD7DF9">
              <w:rPr>
                <w:rFonts w:ascii="Arial" w:eastAsia="Times New Roman" w:hAnsi="Arial" w:cs="Arial"/>
                <w:sz w:val="18"/>
                <w:szCs w:val="18"/>
                <w:lang w:eastAsia="es-ES"/>
              </w:rPr>
              <w:t>1º NO se dedica a adquirir inmuebles o carteras de préstamos hipotecarios impagados por un precio claramente inferior a su valor de tasación de mercado, siendo su principal actividad la de ***.</w:t>
            </w:r>
          </w:p>
          <w:p w14:paraId="1891CDE5" w14:textId="77777777" w:rsidR="00F37543" w:rsidRPr="00DD7DF9" w:rsidRDefault="00F37543" w:rsidP="00110535">
            <w:pPr>
              <w:pStyle w:val="Textoindependiente"/>
              <w:spacing w:after="0" w:line="180" w:lineRule="exact"/>
              <w:jc w:val="both"/>
              <w:rPr>
                <w:rFonts w:ascii="Arial" w:eastAsia="Times New Roman" w:hAnsi="Arial" w:cs="Times New Roman"/>
                <w:sz w:val="18"/>
                <w:szCs w:val="18"/>
                <w:lang w:val="es-ES_tradnl" w:eastAsia="es-ES"/>
              </w:rPr>
            </w:pPr>
            <w:r w:rsidRPr="00DD7DF9">
              <w:rPr>
                <w:rFonts w:ascii="Arial" w:eastAsia="Times New Roman" w:hAnsi="Arial" w:cs="Times New Roman"/>
                <w:sz w:val="18"/>
                <w:szCs w:val="18"/>
                <w:lang w:eastAsia="es-ES"/>
              </w:rPr>
              <w:t>2º C</w:t>
            </w:r>
            <w:r w:rsidRPr="00DD7DF9">
              <w:rPr>
                <w:rFonts w:ascii="Arial" w:eastAsia="Times New Roman" w:hAnsi="Arial" w:cs="Times New Roman"/>
                <w:sz w:val="18"/>
                <w:szCs w:val="18"/>
                <w:lang w:val="es-ES_tradnl" w:eastAsia="es-ES"/>
              </w:rPr>
              <w:t>on independencia de la cualidad o no de gran tenedor, la contraprestación por todos los conceptos NO es inferior al 70% del valor de tasación.</w:t>
            </w:r>
          </w:p>
          <w:p w14:paraId="2C947F04" w14:textId="77777777" w:rsidR="00F37543" w:rsidRPr="00DD7DF9" w:rsidRDefault="00F37543" w:rsidP="00110535">
            <w:pPr>
              <w:pStyle w:val="Textoindependiente"/>
              <w:spacing w:after="0" w:line="180" w:lineRule="exact"/>
              <w:jc w:val="both"/>
              <w:rPr>
                <w:rFonts w:ascii="Arial" w:eastAsia="Times New Roman" w:hAnsi="Arial" w:cs="Times New Roman"/>
                <w:sz w:val="18"/>
                <w:szCs w:val="18"/>
                <w:lang w:val="es-ES_tradnl" w:eastAsia="es-ES"/>
              </w:rPr>
            </w:pPr>
            <w:r w:rsidRPr="00DD7DF9">
              <w:rPr>
                <w:rFonts w:ascii="Arial" w:eastAsia="Times New Roman" w:hAnsi="Arial" w:cs="Times New Roman"/>
                <w:sz w:val="18"/>
                <w:szCs w:val="18"/>
                <w:lang w:val="es-ES_tradnl" w:eastAsia="es-ES"/>
              </w:rPr>
              <w:t>*** Se me entrega e incorporo certificación por sociedad homologada e inscrita en el Banco de España.</w:t>
            </w:r>
          </w:p>
          <w:p w14:paraId="57D99877" w14:textId="77777777" w:rsidR="00F37543" w:rsidRPr="00DD7DF9" w:rsidRDefault="00F37543" w:rsidP="00110535">
            <w:pPr>
              <w:pStyle w:val="Textoindependiente"/>
              <w:spacing w:after="20" w:line="180" w:lineRule="exact"/>
              <w:jc w:val="both"/>
              <w:rPr>
                <w:rFonts w:ascii="Arial" w:eastAsia="Times New Roman" w:hAnsi="Arial" w:cs="Times New Roman"/>
                <w:sz w:val="18"/>
                <w:szCs w:val="18"/>
                <w:lang w:val="es-ES_tradnl" w:eastAsia="es-ES"/>
              </w:rPr>
            </w:pPr>
            <w:r w:rsidRPr="00DD7DF9">
              <w:rPr>
                <w:rFonts w:ascii="Arial" w:eastAsia="Times New Roman" w:hAnsi="Arial" w:cs="Times New Roman"/>
                <w:sz w:val="18"/>
                <w:szCs w:val="18"/>
                <w:lang w:val="es-ES_tradnl" w:eastAsia="es-ES"/>
              </w:rPr>
              <w:t>*** Se me aporta certificación por sociedad homologada e inscrita en el Banco de España, que incorporo a la escritura de préstamo hipotecario subsiguiente destinado a financiar la adquisición.</w:t>
            </w:r>
          </w:p>
        </w:tc>
      </w:tr>
      <w:tr w:rsidR="00F37543" w:rsidRPr="000E48AA" w14:paraId="1B8894A2" w14:textId="77777777" w:rsidTr="00377311">
        <w:trPr>
          <w:jc w:val="center"/>
        </w:trPr>
        <w:tc>
          <w:tcPr>
            <w:tcW w:w="1678" w:type="dxa"/>
            <w:tcBorders>
              <w:top w:val="single" w:sz="12" w:space="0" w:color="auto"/>
              <w:left w:val="single" w:sz="18" w:space="0" w:color="auto"/>
              <w:bottom w:val="single" w:sz="12" w:space="0" w:color="auto"/>
              <w:right w:val="single" w:sz="12" w:space="0" w:color="auto"/>
            </w:tcBorders>
            <w:shd w:val="clear" w:color="auto" w:fill="FFFFFF" w:themeFill="background1"/>
            <w:vAlign w:val="center"/>
          </w:tcPr>
          <w:p w14:paraId="0A8FEB98" w14:textId="67BA6871" w:rsidR="00F37543" w:rsidRDefault="00F37543" w:rsidP="00110535">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Vivienda no e</w:t>
            </w:r>
            <w:r w:rsidR="00696248">
              <w:rPr>
                <w:rFonts w:ascii="Times New Roman" w:eastAsia="Times New Roman" w:hAnsi="Times New Roman" w:cs="Times New Roman"/>
                <w:b/>
                <w:lang w:eastAsia="es-ES"/>
              </w:rPr>
              <w:t>n</w:t>
            </w:r>
            <w:r>
              <w:rPr>
                <w:rFonts w:ascii="Times New Roman" w:eastAsia="Times New Roman" w:hAnsi="Times New Roman" w:cs="Times New Roman"/>
                <w:b/>
                <w:lang w:eastAsia="es-ES"/>
              </w:rPr>
              <w:t xml:space="preserve"> estado de uso</w:t>
            </w:r>
          </w:p>
        </w:tc>
        <w:tc>
          <w:tcPr>
            <w:tcW w:w="5810" w:type="dxa"/>
            <w:tcBorders>
              <w:top w:val="single" w:sz="12" w:space="0" w:color="auto"/>
              <w:left w:val="single" w:sz="12" w:space="0" w:color="auto"/>
              <w:bottom w:val="single" w:sz="12" w:space="0" w:color="auto"/>
              <w:right w:val="single" w:sz="18" w:space="0" w:color="auto"/>
            </w:tcBorders>
            <w:shd w:val="clear" w:color="auto" w:fill="FFFFFF" w:themeFill="background1"/>
            <w:vAlign w:val="center"/>
          </w:tcPr>
          <w:p w14:paraId="4E4DD8F2" w14:textId="5C0DFAF2" w:rsidR="00F37543" w:rsidRPr="00DD7DF9" w:rsidRDefault="00F37543" w:rsidP="00110535">
            <w:pPr>
              <w:pStyle w:val="Textoindependiente"/>
              <w:spacing w:before="20" w:after="20" w:line="180" w:lineRule="exact"/>
              <w:jc w:val="both"/>
              <w:rPr>
                <w:rFonts w:ascii="Arial" w:eastAsia="Times New Roman" w:hAnsi="Arial" w:cs="Arial"/>
                <w:i/>
                <w:iCs/>
                <w:color w:val="EE0000"/>
                <w:sz w:val="18"/>
                <w:szCs w:val="18"/>
                <w:lang w:eastAsia="es-ES"/>
              </w:rPr>
            </w:pPr>
            <w:r w:rsidRPr="00DD7DF9">
              <w:rPr>
                <w:rFonts w:ascii="Arial" w:eastAsia="Times New Roman" w:hAnsi="Arial" w:cs="Arial"/>
                <w:b/>
                <w:sz w:val="18"/>
                <w:szCs w:val="18"/>
                <w:lang w:eastAsia="es-ES"/>
              </w:rPr>
              <w:t>EXPOSICIÓN... F) Requisitos.-...</w:t>
            </w:r>
            <w:r w:rsidRPr="00DD7DF9">
              <w:rPr>
                <w:rFonts w:ascii="Arial" w:eastAsia="Times New Roman" w:hAnsi="Arial" w:cs="Arial"/>
                <w:sz w:val="18"/>
                <w:szCs w:val="18"/>
                <w:lang w:eastAsia="es-ES"/>
              </w:rPr>
              <w:t xml:space="preserve"> </w:t>
            </w:r>
            <w:r w:rsidRPr="00DD7DF9">
              <w:rPr>
                <w:rFonts w:ascii="Arial" w:eastAsia="Times New Roman" w:hAnsi="Arial" w:cs="Arial"/>
                <w:sz w:val="18"/>
                <w:szCs w:val="18"/>
                <w:u w:val="single"/>
                <w:lang w:eastAsia="es-ES"/>
              </w:rPr>
              <w:t>Tercero.- Limitación hasta el 31/12/2030 del art. 1 del Decreto-ley 29/2026.-</w:t>
            </w:r>
            <w:r w:rsidRPr="00DD7DF9">
              <w:rPr>
                <w:rFonts w:ascii="Arial" w:eastAsia="Times New Roman" w:hAnsi="Arial" w:cs="Arial"/>
                <w:sz w:val="18"/>
                <w:szCs w:val="18"/>
                <w:lang w:eastAsia="es-ES"/>
              </w:rPr>
              <w:t xml:space="preserve"> La sociedad adquirente de la vivienda manifiesta </w:t>
            </w:r>
            <w:r w:rsidRPr="00DD7DF9">
              <w:rPr>
                <w:rFonts w:ascii="Arial" w:eastAsia="Times New Roman" w:hAnsi="Arial" w:cs="Times New Roman"/>
                <w:sz w:val="18"/>
                <w:szCs w:val="18"/>
                <w:lang w:val="es-ES_tradnl" w:eastAsia="es-ES"/>
              </w:rPr>
              <w:t>que, con independencia de su actividad y la cualidad o no de gran tenedor y del valor de la contraprestación, la vivienda no se encuentra en estado de uso y su adquisición se hace para su rehabilitación o demolición.</w:t>
            </w:r>
          </w:p>
        </w:tc>
      </w:tr>
      <w:tr w:rsidR="00F37543" w:rsidRPr="000E48AA" w14:paraId="5C4A99BA" w14:textId="77777777" w:rsidTr="005530F5">
        <w:trPr>
          <w:trHeight w:val="894"/>
          <w:jc w:val="center"/>
        </w:trPr>
        <w:tc>
          <w:tcPr>
            <w:tcW w:w="1678"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61BAC0B9" w14:textId="44EFC1BF" w:rsidR="00F37543" w:rsidRDefault="00F37543" w:rsidP="00110535">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Excepciones arts. 1-</w:t>
            </w:r>
            <w:r w:rsidR="00E9564D">
              <w:rPr>
                <w:rFonts w:ascii="Times New Roman" w:eastAsia="Times New Roman" w:hAnsi="Times New Roman" w:cs="Times New Roman"/>
                <w:b/>
                <w:lang w:eastAsia="es-ES"/>
              </w:rPr>
              <w:t>2</w:t>
            </w:r>
            <w:r>
              <w:rPr>
                <w:rFonts w:ascii="Times New Roman" w:eastAsia="Times New Roman" w:hAnsi="Times New Roman" w:cs="Times New Roman"/>
                <w:b/>
                <w:lang w:eastAsia="es-ES"/>
              </w:rPr>
              <w:t xml:space="preserve"> y 1-4</w:t>
            </w:r>
          </w:p>
        </w:tc>
        <w:tc>
          <w:tcPr>
            <w:tcW w:w="5810"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54806A0C" w14:textId="2DD56C7E" w:rsidR="00F37543" w:rsidRPr="00DD7DF9" w:rsidRDefault="00F37543" w:rsidP="00110535">
            <w:pPr>
              <w:pStyle w:val="Textoindependiente"/>
              <w:spacing w:before="40" w:after="0" w:line="180" w:lineRule="exact"/>
              <w:jc w:val="both"/>
              <w:rPr>
                <w:rFonts w:ascii="Arial" w:eastAsia="Times New Roman" w:hAnsi="Arial" w:cs="Times New Roman"/>
                <w:sz w:val="18"/>
                <w:szCs w:val="18"/>
                <w:lang w:val="es-ES_tradnl" w:eastAsia="es-ES"/>
              </w:rPr>
            </w:pPr>
            <w:r w:rsidRPr="00DD7DF9">
              <w:rPr>
                <w:rFonts w:ascii="Arial" w:eastAsia="Times New Roman" w:hAnsi="Arial" w:cs="Arial"/>
                <w:b/>
                <w:sz w:val="18"/>
                <w:szCs w:val="18"/>
                <w:lang w:eastAsia="es-ES"/>
              </w:rPr>
              <w:t>EXPOSICIÓN... F) Requisitos.-...</w:t>
            </w:r>
            <w:r w:rsidRPr="00DD7DF9">
              <w:rPr>
                <w:rFonts w:ascii="Arial" w:eastAsia="Times New Roman" w:hAnsi="Arial" w:cs="Arial"/>
                <w:sz w:val="18"/>
                <w:szCs w:val="18"/>
                <w:lang w:eastAsia="es-ES"/>
              </w:rPr>
              <w:t xml:space="preserve"> </w:t>
            </w:r>
            <w:r w:rsidRPr="00DD7DF9">
              <w:rPr>
                <w:rFonts w:ascii="Arial" w:eastAsia="Times New Roman" w:hAnsi="Arial" w:cs="Arial"/>
                <w:sz w:val="18"/>
                <w:szCs w:val="18"/>
                <w:u w:val="single"/>
                <w:lang w:eastAsia="es-ES"/>
              </w:rPr>
              <w:t>Tercero.- Limitación hasta el 31/12/2030 del art. 1 del Decreto-ley 29/2026.-</w:t>
            </w:r>
            <w:r w:rsidRPr="00DD7DF9">
              <w:rPr>
                <w:rFonts w:ascii="Arial" w:eastAsia="Times New Roman" w:hAnsi="Arial" w:cs="Arial"/>
                <w:sz w:val="18"/>
                <w:szCs w:val="18"/>
                <w:lang w:eastAsia="es-ES"/>
              </w:rPr>
              <w:t xml:space="preserve"> La sociedad adquirente de la vivienda manifiesta </w:t>
            </w:r>
            <w:r w:rsidRPr="00DD7DF9">
              <w:rPr>
                <w:rFonts w:ascii="Arial" w:eastAsia="Times New Roman" w:hAnsi="Arial" w:cs="Times New Roman"/>
                <w:sz w:val="18"/>
                <w:szCs w:val="18"/>
                <w:lang w:val="es-ES_tradnl" w:eastAsia="es-ES"/>
              </w:rPr>
              <w:t>que, con independencia de su actividad y la cualidad o no de gran tenedor y del valor de la contraprestación, *** se encuentra adherida al Código de Buenas Prácticas ***la vivienda se va a destinar a ***.</w:t>
            </w:r>
          </w:p>
          <w:p w14:paraId="5D713D54" w14:textId="77777777" w:rsidR="00F37543" w:rsidRPr="00DD7DF9" w:rsidRDefault="00F37543" w:rsidP="00110535">
            <w:pPr>
              <w:pStyle w:val="Textoindependiente"/>
              <w:spacing w:after="60" w:line="180" w:lineRule="exact"/>
              <w:jc w:val="both"/>
              <w:rPr>
                <w:rFonts w:ascii="Arial" w:eastAsia="Times New Roman" w:hAnsi="Arial" w:cs="Times New Roman"/>
                <w:sz w:val="18"/>
                <w:szCs w:val="18"/>
                <w:lang w:val="es-ES_tradnl" w:eastAsia="es-ES"/>
              </w:rPr>
            </w:pPr>
            <w:r w:rsidRPr="00DD7DF9">
              <w:rPr>
                <w:rFonts w:ascii="Arial" w:eastAsia="Times New Roman" w:hAnsi="Arial" w:cs="Times New Roman"/>
                <w:sz w:val="18"/>
                <w:szCs w:val="18"/>
                <w:lang w:val="es-ES_tradnl" w:eastAsia="es-ES"/>
              </w:rPr>
              <w:t>*** En orden a la justificación de tal excepción, se me entrega e incorporo ***.</w:t>
            </w:r>
          </w:p>
        </w:tc>
      </w:tr>
    </w:tbl>
    <w:p w14:paraId="38ABC5BB" w14:textId="77777777" w:rsidR="00442268" w:rsidRDefault="00442268" w:rsidP="00FA04B7"/>
    <w:p w14:paraId="5ADC1806" w14:textId="77777777" w:rsidR="00442268" w:rsidRDefault="00442268">
      <w:r>
        <w:br w:type="page"/>
      </w:r>
    </w:p>
    <w:p w14:paraId="5FDD117F" w14:textId="77777777" w:rsidR="00E36D8E" w:rsidRDefault="00E36D8E" w:rsidP="00FA04B7">
      <w:bookmarkStart w:id="5" w:name="_Hlk24332949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E36D8E" w:rsidRPr="000E48AA" w14:paraId="3F6FC195" w14:textId="77777777" w:rsidTr="007B0293">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11AD4654" w14:textId="0E69731C" w:rsidR="00E36D8E" w:rsidRPr="00963114" w:rsidRDefault="005530F5" w:rsidP="007B0293">
            <w:pPr>
              <w:spacing w:before="60" w:after="60" w:line="24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4</w:t>
            </w:r>
            <w:r w:rsidR="00E36D8E" w:rsidRPr="00B93DCD">
              <w:rPr>
                <w:rFonts w:ascii="Times New Roman" w:eastAsia="Times New Roman" w:hAnsi="Times New Roman" w:cs="Times New Roman"/>
                <w:b/>
                <w:color w:val="000000"/>
                <w:sz w:val="24"/>
                <w:szCs w:val="24"/>
                <w:lang w:eastAsia="es-ES"/>
              </w:rPr>
              <w:t xml:space="preserve">. </w:t>
            </w:r>
            <w:hyperlink r:id="rId17" w:history="1">
              <w:r w:rsidR="00E36D8E" w:rsidRPr="00B93DCD">
                <w:rPr>
                  <w:rStyle w:val="Hipervnculo"/>
                  <w:rFonts w:ascii="Times New Roman" w:eastAsia="Times New Roman" w:hAnsi="Times New Roman" w:cs="Times New Roman"/>
                  <w:b/>
                  <w:sz w:val="24"/>
                  <w:szCs w:val="24"/>
                  <w:lang w:eastAsia="es-ES"/>
                </w:rPr>
                <w:t>ARTÍCULO 1 DL 29/2026</w:t>
              </w:r>
            </w:hyperlink>
            <w:r w:rsidR="00A34E58" w:rsidRPr="00B93DCD">
              <w:rPr>
                <w:rFonts w:ascii="Times New Roman" w:eastAsia="Times New Roman" w:hAnsi="Times New Roman" w:cs="Times New Roman"/>
                <w:b/>
                <w:color w:val="000000"/>
                <w:sz w:val="24"/>
                <w:szCs w:val="24"/>
                <w:lang w:eastAsia="es-ES"/>
              </w:rPr>
              <w:t xml:space="preserve">. </w:t>
            </w:r>
            <w:bookmarkStart w:id="6" w:name="SANCIÓN"/>
            <w:bookmarkEnd w:id="6"/>
            <w:r w:rsidR="008F574A">
              <w:rPr>
                <w:rFonts w:ascii="Times New Roman" w:eastAsia="Times New Roman" w:hAnsi="Times New Roman" w:cs="Times New Roman"/>
                <w:b/>
                <w:color w:val="000000"/>
                <w:sz w:val="24"/>
                <w:szCs w:val="24"/>
                <w:lang w:eastAsia="es-ES"/>
              </w:rPr>
              <w:t>SANCIÓN Y ACREDITACIÓN</w:t>
            </w:r>
          </w:p>
        </w:tc>
      </w:tr>
      <w:tr w:rsidR="009A5331" w:rsidRPr="000E48AA" w14:paraId="2C9073F9" w14:textId="77777777" w:rsidTr="009A5331">
        <w:trPr>
          <w:trHeight w:val="501"/>
          <w:jc w:val="center"/>
        </w:trPr>
        <w:tc>
          <w:tcPr>
            <w:tcW w:w="1678" w:type="dxa"/>
            <w:vMerge w:val="restart"/>
            <w:tcBorders>
              <w:top w:val="single" w:sz="12" w:space="0" w:color="auto"/>
              <w:left w:val="single" w:sz="18" w:space="0" w:color="auto"/>
              <w:right w:val="single" w:sz="12" w:space="0" w:color="auto"/>
            </w:tcBorders>
            <w:vAlign w:val="center"/>
          </w:tcPr>
          <w:p w14:paraId="3D624C64" w14:textId="4A9B0FA3" w:rsidR="009A5331" w:rsidRPr="00A95E6A" w:rsidRDefault="009A5331" w:rsidP="007B0293">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Clase de ineficacia y sanciones</w:t>
            </w:r>
            <w:r w:rsidR="009555C0">
              <w:rPr>
                <w:rFonts w:ascii="Times New Roman" w:eastAsia="Times New Roman" w:hAnsi="Times New Roman" w:cs="Times New Roman"/>
                <w:b/>
                <w:lang w:eastAsia="es-ES"/>
              </w:rPr>
              <w:t>: notarios y registradores</w:t>
            </w:r>
          </w:p>
        </w:tc>
        <w:tc>
          <w:tcPr>
            <w:tcW w:w="5810" w:type="dxa"/>
            <w:tcBorders>
              <w:top w:val="single" w:sz="12" w:space="0" w:color="auto"/>
              <w:left w:val="single" w:sz="12" w:space="0" w:color="auto"/>
              <w:right w:val="single" w:sz="18" w:space="0" w:color="auto"/>
            </w:tcBorders>
            <w:vAlign w:val="center"/>
          </w:tcPr>
          <w:p w14:paraId="62AD472D" w14:textId="0ABDD2B7" w:rsidR="009A5331" w:rsidRPr="0088522C" w:rsidRDefault="009A5331" w:rsidP="00AA42ED">
            <w:pPr>
              <w:spacing w:before="60" w:after="20" w:line="160" w:lineRule="exact"/>
              <w:jc w:val="both"/>
              <w:rPr>
                <w:rFonts w:ascii="Times New Roman" w:eastAsia="Times New Roman" w:hAnsi="Times New Roman" w:cs="Times New Roman"/>
                <w:sz w:val="16"/>
                <w:szCs w:val="16"/>
                <w:lang w:eastAsia="es-ES"/>
              </w:rPr>
            </w:pPr>
            <w:r w:rsidRPr="0088522C">
              <w:rPr>
                <w:rFonts w:ascii="Times New Roman" w:eastAsia="Times New Roman" w:hAnsi="Times New Roman" w:cs="Times New Roman"/>
                <w:sz w:val="16"/>
                <w:szCs w:val="16"/>
                <w:lang w:eastAsia="es-ES"/>
              </w:rPr>
              <w:t>No se dice expresamente cuál es la sanción por incumplir la limitación del art. 1 DL 29/202</w:t>
            </w:r>
            <w:r w:rsidR="00614A48" w:rsidRPr="0088522C">
              <w:rPr>
                <w:rFonts w:ascii="Times New Roman" w:eastAsia="Times New Roman" w:hAnsi="Times New Roman" w:cs="Times New Roman"/>
                <w:sz w:val="16"/>
                <w:szCs w:val="16"/>
                <w:lang w:eastAsia="es-ES"/>
              </w:rPr>
              <w:t>6</w:t>
            </w:r>
            <w:r w:rsidRPr="0088522C">
              <w:rPr>
                <w:rFonts w:ascii="Times New Roman" w:eastAsia="Times New Roman" w:hAnsi="Times New Roman" w:cs="Times New Roman"/>
                <w:sz w:val="16"/>
                <w:szCs w:val="16"/>
                <w:lang w:eastAsia="es-ES"/>
              </w:rPr>
              <w:t>. Entender que son nulos, es hacer una aplicación simplista del art. 6-3 del Código Civil, olvidando su inciso final, pues la Patología de los contratos ha de basarse en una interpretación sistemática de las reglas sobre ineficacia de los mi</w:t>
            </w:r>
            <w:r w:rsidR="006E7A64" w:rsidRPr="0088522C">
              <w:rPr>
                <w:rFonts w:ascii="Times New Roman" w:eastAsia="Times New Roman" w:hAnsi="Times New Roman" w:cs="Times New Roman"/>
                <w:sz w:val="16"/>
                <w:szCs w:val="16"/>
                <w:lang w:eastAsia="es-ES"/>
              </w:rPr>
              <w:t>s</w:t>
            </w:r>
            <w:r w:rsidRPr="0088522C">
              <w:rPr>
                <w:rFonts w:ascii="Times New Roman" w:eastAsia="Times New Roman" w:hAnsi="Times New Roman" w:cs="Times New Roman"/>
                <w:sz w:val="16"/>
                <w:szCs w:val="16"/>
                <w:lang w:eastAsia="es-ES"/>
              </w:rPr>
              <w:t>mos atendiendo a sus elementos, presupuestos o requisitos sobre los que incide el precepto vulnerado.</w:t>
            </w:r>
          </w:p>
        </w:tc>
      </w:tr>
      <w:tr w:rsidR="009A5331" w:rsidRPr="000E48AA" w14:paraId="5B79A3CB" w14:textId="77777777" w:rsidTr="009A5331">
        <w:trPr>
          <w:trHeight w:val="501"/>
          <w:jc w:val="center"/>
        </w:trPr>
        <w:tc>
          <w:tcPr>
            <w:tcW w:w="1678" w:type="dxa"/>
            <w:vMerge/>
            <w:tcBorders>
              <w:left w:val="single" w:sz="18" w:space="0" w:color="auto"/>
              <w:right w:val="single" w:sz="12" w:space="0" w:color="auto"/>
            </w:tcBorders>
            <w:vAlign w:val="center"/>
          </w:tcPr>
          <w:p w14:paraId="1DE88E29" w14:textId="77777777" w:rsidR="009A5331" w:rsidRDefault="009A5331" w:rsidP="007B0293">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right w:val="single" w:sz="18" w:space="0" w:color="auto"/>
            </w:tcBorders>
            <w:vAlign w:val="center"/>
          </w:tcPr>
          <w:p w14:paraId="2F85078E" w14:textId="77777777" w:rsidR="009A5331" w:rsidRPr="0088522C" w:rsidRDefault="00FE7A36" w:rsidP="00D175EF">
            <w:pPr>
              <w:spacing w:before="20" w:after="0" w:line="160" w:lineRule="exact"/>
              <w:jc w:val="both"/>
              <w:rPr>
                <w:rFonts w:ascii="Times New Roman" w:eastAsia="Times New Roman" w:hAnsi="Times New Roman" w:cs="Times New Roman"/>
                <w:sz w:val="16"/>
                <w:szCs w:val="16"/>
                <w:lang w:eastAsia="es-ES"/>
              </w:rPr>
            </w:pPr>
            <w:r w:rsidRPr="0088522C">
              <w:rPr>
                <w:rFonts w:ascii="Times New Roman" w:eastAsia="Times New Roman" w:hAnsi="Times New Roman" w:cs="Times New Roman"/>
                <w:sz w:val="16"/>
                <w:szCs w:val="16"/>
                <w:lang w:eastAsia="es-ES"/>
              </w:rPr>
              <w:t>Entiendo que la contravención de la limitación del art. 1 DL 29/2026 supone la ilicitud de la causa</w:t>
            </w:r>
            <w:r w:rsidR="006E7A64" w:rsidRPr="0088522C">
              <w:rPr>
                <w:rFonts w:ascii="Times New Roman" w:eastAsia="Times New Roman" w:hAnsi="Times New Roman" w:cs="Times New Roman"/>
                <w:sz w:val="16"/>
                <w:szCs w:val="16"/>
                <w:lang w:eastAsia="es-ES"/>
              </w:rPr>
              <w:t xml:space="preserve"> eficiente</w:t>
            </w:r>
            <w:r w:rsidRPr="0088522C">
              <w:rPr>
                <w:rFonts w:ascii="Times New Roman" w:eastAsia="Times New Roman" w:hAnsi="Times New Roman" w:cs="Times New Roman"/>
                <w:sz w:val="16"/>
                <w:szCs w:val="16"/>
                <w:lang w:eastAsia="es-ES"/>
              </w:rPr>
              <w:t xml:space="preserve"> del contrato</w:t>
            </w:r>
            <w:r w:rsidR="006E7A64" w:rsidRPr="0088522C">
              <w:rPr>
                <w:rFonts w:ascii="Times New Roman" w:eastAsia="Times New Roman" w:hAnsi="Times New Roman" w:cs="Times New Roman"/>
                <w:sz w:val="16"/>
                <w:szCs w:val="16"/>
                <w:lang w:eastAsia="es-ES"/>
              </w:rPr>
              <w:t xml:space="preserve"> (</w:t>
            </w:r>
            <w:r w:rsidRPr="0088522C">
              <w:rPr>
                <w:rFonts w:ascii="Times New Roman" w:eastAsia="Times New Roman" w:hAnsi="Times New Roman" w:cs="Times New Roman"/>
                <w:sz w:val="16"/>
                <w:szCs w:val="16"/>
                <w:lang w:eastAsia="es-ES"/>
              </w:rPr>
              <w:t>art. 1275-2 del CC</w:t>
            </w:r>
            <w:r w:rsidR="006E7A64" w:rsidRPr="0088522C">
              <w:rPr>
                <w:rFonts w:ascii="Times New Roman" w:eastAsia="Times New Roman" w:hAnsi="Times New Roman" w:cs="Times New Roman"/>
                <w:sz w:val="16"/>
                <w:szCs w:val="16"/>
                <w:lang w:eastAsia="es-ES"/>
              </w:rPr>
              <w:t>) en cuanto</w:t>
            </w:r>
            <w:r w:rsidR="0088522C" w:rsidRPr="0088522C">
              <w:rPr>
                <w:rFonts w:ascii="Times New Roman" w:eastAsia="Times New Roman" w:hAnsi="Times New Roman" w:cs="Times New Roman"/>
                <w:sz w:val="16"/>
                <w:szCs w:val="16"/>
                <w:lang w:eastAsia="es-ES"/>
              </w:rPr>
              <w:t xml:space="preserve"> que </w:t>
            </w:r>
            <w:r w:rsidR="006E7A64" w:rsidRPr="0088522C">
              <w:rPr>
                <w:rFonts w:ascii="Times New Roman" w:eastAsia="Times New Roman" w:hAnsi="Times New Roman" w:cs="Times New Roman"/>
                <w:sz w:val="16"/>
                <w:szCs w:val="16"/>
                <w:lang w:eastAsia="es-ES"/>
              </w:rPr>
              <w:t>su carácter especulativo lesiona e</w:t>
            </w:r>
            <w:r w:rsidR="005C587B" w:rsidRPr="0088522C">
              <w:rPr>
                <w:rFonts w:ascii="Times New Roman" w:eastAsia="Times New Roman" w:hAnsi="Times New Roman" w:cs="Times New Roman"/>
                <w:sz w:val="16"/>
                <w:szCs w:val="16"/>
                <w:lang w:eastAsia="es-ES"/>
              </w:rPr>
              <w:t>l mercado de la vivienda.</w:t>
            </w:r>
          </w:p>
          <w:p w14:paraId="71F312A3" w14:textId="77777777" w:rsidR="0088522C" w:rsidRPr="0088522C" w:rsidRDefault="0088522C" w:rsidP="00AA42ED">
            <w:pPr>
              <w:spacing w:after="0" w:line="160" w:lineRule="exact"/>
              <w:jc w:val="both"/>
              <w:rPr>
                <w:rFonts w:ascii="Times New Roman" w:eastAsia="Times New Roman" w:hAnsi="Times New Roman" w:cs="Times New Roman"/>
                <w:sz w:val="16"/>
                <w:szCs w:val="16"/>
                <w:lang w:eastAsia="es-ES"/>
              </w:rPr>
            </w:pPr>
            <w:r w:rsidRPr="0088522C">
              <w:rPr>
                <w:rFonts w:ascii="Times New Roman" w:eastAsia="Times New Roman" w:hAnsi="Times New Roman" w:cs="Times New Roman"/>
                <w:sz w:val="16"/>
                <w:szCs w:val="16"/>
                <w:lang w:eastAsia="es-ES"/>
              </w:rPr>
              <w:t>La sanción sería entonces de rescindibilidad, en cuanto aquella clase de ineficacia del contrato, en este caso originaria, potestativa de accionar, irretroactiva frente a terceros de buena fe y en este caso subsanable por su carácter temporal.</w:t>
            </w:r>
          </w:p>
          <w:p w14:paraId="7DA26E97" w14:textId="20985274" w:rsidR="0088522C" w:rsidRPr="0088522C" w:rsidRDefault="0088522C" w:rsidP="00D175EF">
            <w:pPr>
              <w:spacing w:after="20" w:line="160" w:lineRule="exact"/>
              <w:jc w:val="both"/>
              <w:rPr>
                <w:rFonts w:ascii="Times New Roman" w:eastAsia="Times New Roman" w:hAnsi="Times New Roman" w:cs="Times New Roman"/>
                <w:sz w:val="16"/>
                <w:szCs w:val="16"/>
                <w:lang w:eastAsia="es-ES"/>
              </w:rPr>
            </w:pPr>
            <w:r w:rsidRPr="0088522C">
              <w:rPr>
                <w:rFonts w:ascii="Times New Roman" w:eastAsia="Times New Roman" w:hAnsi="Times New Roman" w:cs="Times New Roman"/>
                <w:sz w:val="16"/>
                <w:szCs w:val="16"/>
                <w:lang w:eastAsia="es-ES"/>
              </w:rPr>
              <w:t xml:space="preserve">La potestad de accionar se reconocería a la Administración. También a los terceros perjudicados, como arrendatarios. Más discutible es que </w:t>
            </w:r>
            <w:r>
              <w:rPr>
                <w:rFonts w:ascii="Times New Roman" w:eastAsia="Times New Roman" w:hAnsi="Times New Roman" w:cs="Times New Roman"/>
                <w:sz w:val="16"/>
                <w:szCs w:val="16"/>
                <w:lang w:eastAsia="es-ES"/>
              </w:rPr>
              <w:t>puedan</w:t>
            </w:r>
            <w:r w:rsidRPr="0088522C">
              <w:rPr>
                <w:rFonts w:ascii="Times New Roman" w:eastAsia="Times New Roman" w:hAnsi="Times New Roman" w:cs="Times New Roman"/>
                <w:sz w:val="16"/>
                <w:szCs w:val="16"/>
                <w:lang w:eastAsia="es-ES"/>
              </w:rPr>
              <w:t xml:space="preserve"> los transmitentes.</w:t>
            </w:r>
          </w:p>
        </w:tc>
      </w:tr>
      <w:tr w:rsidR="009A5331" w:rsidRPr="000E48AA" w14:paraId="58C85AA3" w14:textId="77777777" w:rsidTr="00134FCF">
        <w:trPr>
          <w:trHeight w:val="167"/>
          <w:jc w:val="center"/>
        </w:trPr>
        <w:tc>
          <w:tcPr>
            <w:tcW w:w="1678" w:type="dxa"/>
            <w:vMerge/>
            <w:tcBorders>
              <w:left w:val="single" w:sz="18" w:space="0" w:color="auto"/>
              <w:right w:val="single" w:sz="12" w:space="0" w:color="auto"/>
            </w:tcBorders>
            <w:vAlign w:val="center"/>
          </w:tcPr>
          <w:p w14:paraId="11E3C4E3" w14:textId="77777777" w:rsidR="009A5331" w:rsidRDefault="009A5331" w:rsidP="007B0293">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right w:val="single" w:sz="18" w:space="0" w:color="auto"/>
            </w:tcBorders>
            <w:vAlign w:val="center"/>
          </w:tcPr>
          <w:p w14:paraId="510FEBE6" w14:textId="77777777" w:rsidR="009A5331" w:rsidRPr="00D175EF" w:rsidRDefault="009A5331" w:rsidP="0088522C">
            <w:pPr>
              <w:spacing w:before="20" w:after="40" w:line="200" w:lineRule="exact"/>
              <w:jc w:val="both"/>
              <w:rPr>
                <w:rFonts w:ascii="Times New Roman" w:eastAsia="Times New Roman" w:hAnsi="Times New Roman" w:cs="Times New Roman"/>
                <w:sz w:val="18"/>
                <w:szCs w:val="18"/>
                <w:lang w:eastAsia="es-ES"/>
              </w:rPr>
            </w:pPr>
            <w:r w:rsidRPr="00D175EF">
              <w:rPr>
                <w:rFonts w:ascii="Times New Roman" w:eastAsia="Times New Roman" w:hAnsi="Times New Roman" w:cs="Times New Roman"/>
                <w:sz w:val="18"/>
                <w:szCs w:val="18"/>
                <w:lang w:eastAsia="es-ES"/>
              </w:rPr>
              <w:t>En cualquier caso, la contravención de la norma implica una infracción legal originaria, por lo que impide la autorización notarial e inscripción registral.</w:t>
            </w:r>
          </w:p>
          <w:p w14:paraId="52C04404" w14:textId="31368167" w:rsidR="00D175EF" w:rsidRPr="0026063B" w:rsidRDefault="00D175EF" w:rsidP="00D175EF">
            <w:pPr>
              <w:spacing w:after="0" w:line="160" w:lineRule="exact"/>
              <w:jc w:val="both"/>
              <w:rPr>
                <w:rFonts w:ascii="Times New Roman" w:eastAsia="Times New Roman" w:hAnsi="Times New Roman" w:cs="Times New Roman"/>
                <w:sz w:val="16"/>
                <w:szCs w:val="16"/>
                <w:lang w:eastAsia="es-ES"/>
              </w:rPr>
            </w:pPr>
            <w:r w:rsidRPr="0026063B">
              <w:rPr>
                <w:rFonts w:ascii="Times New Roman" w:eastAsia="Times New Roman" w:hAnsi="Times New Roman" w:cs="Times New Roman"/>
                <w:sz w:val="16"/>
                <w:szCs w:val="16"/>
                <w:lang w:eastAsia="es-ES"/>
              </w:rPr>
              <w:t>Caso de que se hubiese autorizado indebidamente:</w:t>
            </w:r>
          </w:p>
          <w:p w14:paraId="6220CE47" w14:textId="6A22368D" w:rsidR="00D175EF" w:rsidRPr="0026063B" w:rsidRDefault="00D175EF" w:rsidP="00D175EF">
            <w:pPr>
              <w:spacing w:after="0" w:line="160" w:lineRule="exact"/>
              <w:jc w:val="both"/>
              <w:rPr>
                <w:rFonts w:ascii="Times New Roman" w:eastAsia="Times New Roman" w:hAnsi="Times New Roman" w:cs="Times New Roman"/>
                <w:sz w:val="16"/>
                <w:szCs w:val="16"/>
                <w:lang w:eastAsia="es-ES"/>
              </w:rPr>
            </w:pPr>
            <w:r w:rsidRPr="0026063B">
              <w:rPr>
                <w:rFonts w:ascii="Times New Roman" w:eastAsia="Times New Roman" w:hAnsi="Times New Roman" w:cs="Times New Roman"/>
                <w:sz w:val="16"/>
                <w:szCs w:val="16"/>
                <w:lang w:eastAsia="es-ES"/>
              </w:rPr>
              <w:t>- Si es por incumplimiento de la norma, es ineficaz en los términos vistos.</w:t>
            </w:r>
          </w:p>
          <w:p w14:paraId="6A04E4BF" w14:textId="081D4D35" w:rsidR="00D175EF" w:rsidRPr="0088522C" w:rsidRDefault="00D175EF" w:rsidP="00D175EF">
            <w:pPr>
              <w:spacing w:after="20" w:line="160" w:lineRule="exact"/>
              <w:jc w:val="both"/>
              <w:rPr>
                <w:rFonts w:ascii="Times New Roman" w:eastAsia="Times New Roman" w:hAnsi="Times New Roman" w:cs="Times New Roman"/>
                <w:lang w:eastAsia="es-ES"/>
              </w:rPr>
            </w:pPr>
            <w:r w:rsidRPr="0026063B">
              <w:rPr>
                <w:rFonts w:ascii="Times New Roman" w:eastAsia="Times New Roman" w:hAnsi="Times New Roman" w:cs="Times New Roman"/>
                <w:sz w:val="16"/>
                <w:szCs w:val="16"/>
                <w:lang w:eastAsia="es-ES"/>
              </w:rPr>
              <w:t xml:space="preserve">- Si es por </w:t>
            </w:r>
            <w:r w:rsidR="002204ED">
              <w:rPr>
                <w:rFonts w:ascii="Times New Roman" w:eastAsia="Times New Roman" w:hAnsi="Times New Roman" w:cs="Times New Roman"/>
                <w:sz w:val="16"/>
                <w:szCs w:val="16"/>
                <w:lang w:eastAsia="es-ES"/>
              </w:rPr>
              <w:t>omisión</w:t>
            </w:r>
            <w:r w:rsidRPr="0026063B">
              <w:rPr>
                <w:rFonts w:ascii="Times New Roman" w:eastAsia="Times New Roman" w:hAnsi="Times New Roman" w:cs="Times New Roman"/>
                <w:sz w:val="16"/>
                <w:szCs w:val="16"/>
                <w:lang w:eastAsia="es-ES"/>
              </w:rPr>
              <w:t xml:space="preserve"> de la documentación acreditativa del cumplimiento de la norma, puede acreditarse posteriormente, sin perjuicio de la responsabilidad disciplinaria.</w:t>
            </w:r>
            <w:r>
              <w:rPr>
                <w:rFonts w:ascii="Times New Roman" w:eastAsia="Times New Roman" w:hAnsi="Times New Roman" w:cs="Times New Roman"/>
                <w:sz w:val="18"/>
                <w:szCs w:val="18"/>
                <w:lang w:eastAsia="es-ES"/>
              </w:rPr>
              <w:t xml:space="preserve"> </w:t>
            </w:r>
          </w:p>
        </w:tc>
      </w:tr>
      <w:tr w:rsidR="009A5331" w:rsidRPr="000E48AA" w14:paraId="58E96BDD" w14:textId="77777777" w:rsidTr="00814CE1">
        <w:trPr>
          <w:trHeight w:val="167"/>
          <w:jc w:val="center"/>
        </w:trPr>
        <w:tc>
          <w:tcPr>
            <w:tcW w:w="1678" w:type="dxa"/>
            <w:vMerge/>
            <w:tcBorders>
              <w:left w:val="single" w:sz="18" w:space="0" w:color="auto"/>
              <w:right w:val="single" w:sz="12" w:space="0" w:color="auto"/>
            </w:tcBorders>
            <w:vAlign w:val="center"/>
          </w:tcPr>
          <w:p w14:paraId="1C83CF3D" w14:textId="77777777" w:rsidR="009A5331" w:rsidRDefault="009A5331" w:rsidP="007B0293">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right w:val="single" w:sz="18" w:space="0" w:color="auto"/>
            </w:tcBorders>
            <w:vAlign w:val="center"/>
          </w:tcPr>
          <w:p w14:paraId="07B2295C" w14:textId="45DAE618" w:rsidR="009A5331" w:rsidRPr="00EB34B8" w:rsidRDefault="009A5331" w:rsidP="00282D4A">
            <w:pPr>
              <w:spacing w:before="20" w:after="60" w:line="18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Dado que la limitación es temporal, ello supone que, mientras no se haya declarado judicialmente su ineficacia, el contrato podrá ser convalidado una vez transcurrida su vigencia (31/12/2030) o antes si la norma fuese derogada.</w:t>
            </w:r>
          </w:p>
        </w:tc>
      </w:tr>
      <w:tr w:rsidR="008A14ED" w:rsidRPr="000E48AA" w14:paraId="714923A6" w14:textId="77777777" w:rsidTr="00BD50A3">
        <w:trPr>
          <w:trHeight w:val="436"/>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161757CE" w14:textId="227D137F" w:rsidR="008A14ED" w:rsidRPr="00DF5430" w:rsidRDefault="008A14ED" w:rsidP="007B0293">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Certificación registral</w:t>
            </w:r>
          </w:p>
        </w:tc>
        <w:tc>
          <w:tcPr>
            <w:tcW w:w="5810" w:type="dxa"/>
            <w:tcBorders>
              <w:top w:val="single" w:sz="12" w:space="0" w:color="auto"/>
              <w:left w:val="single" w:sz="12" w:space="0" w:color="auto"/>
              <w:bottom w:val="single" w:sz="6" w:space="0" w:color="auto"/>
              <w:right w:val="single" w:sz="18" w:space="0" w:color="auto"/>
            </w:tcBorders>
            <w:shd w:val="clear" w:color="auto" w:fill="E7E6E6" w:themeFill="background2"/>
            <w:vAlign w:val="center"/>
          </w:tcPr>
          <w:p w14:paraId="18904238" w14:textId="618F0375" w:rsidR="008A14ED" w:rsidRPr="0040301F" w:rsidRDefault="008A14ED" w:rsidP="004B7319">
            <w:pPr>
              <w:spacing w:before="60" w:after="20" w:line="180" w:lineRule="exact"/>
              <w:jc w:val="both"/>
              <w:rPr>
                <w:rFonts w:ascii="Times New Roman" w:eastAsia="Times New Roman" w:hAnsi="Times New Roman" w:cs="Times New Roman"/>
                <w:color w:val="000000"/>
                <w:sz w:val="20"/>
                <w:szCs w:val="20"/>
                <w:lang w:eastAsia="es-ES"/>
              </w:rPr>
            </w:pPr>
            <w:r w:rsidRPr="00346791">
              <w:rPr>
                <w:rFonts w:ascii="Times New Roman" w:eastAsia="Times New Roman" w:hAnsi="Times New Roman" w:cs="Times New Roman"/>
                <w:color w:val="000000"/>
                <w:sz w:val="20"/>
                <w:szCs w:val="20"/>
                <w:lang w:eastAsia="es-ES"/>
              </w:rPr>
              <w:t xml:space="preserve">¿Antigüedad de la certificación registral? </w:t>
            </w:r>
            <w:r>
              <w:rPr>
                <w:rFonts w:ascii="Times New Roman" w:eastAsia="Times New Roman" w:hAnsi="Times New Roman" w:cs="Times New Roman"/>
                <w:color w:val="000000"/>
                <w:sz w:val="20"/>
                <w:szCs w:val="20"/>
                <w:lang w:eastAsia="es-ES"/>
              </w:rPr>
              <w:t>Hay que tener presente que ni siquiera su tramitación telemática es instantánea, como sí ocurre con las certificaciones catastrales.</w:t>
            </w:r>
          </w:p>
        </w:tc>
      </w:tr>
      <w:tr w:rsidR="008A14ED" w:rsidRPr="000E48AA" w14:paraId="51DFA451" w14:textId="77777777" w:rsidTr="00BD50A3">
        <w:trPr>
          <w:trHeight w:val="435"/>
          <w:jc w:val="center"/>
        </w:trPr>
        <w:tc>
          <w:tcPr>
            <w:tcW w:w="1678" w:type="dxa"/>
            <w:vMerge/>
            <w:tcBorders>
              <w:left w:val="single" w:sz="18" w:space="0" w:color="auto"/>
              <w:right w:val="single" w:sz="12" w:space="0" w:color="auto"/>
            </w:tcBorders>
            <w:shd w:val="clear" w:color="auto" w:fill="E7E6E6" w:themeFill="background2"/>
            <w:vAlign w:val="center"/>
          </w:tcPr>
          <w:p w14:paraId="3AD327D6" w14:textId="77777777" w:rsidR="008A14ED" w:rsidRDefault="008A14ED" w:rsidP="007B0293">
            <w:pPr>
              <w:spacing w:before="60" w:after="60" w:line="200" w:lineRule="exact"/>
              <w:jc w:val="center"/>
              <w:rPr>
                <w:rFonts w:ascii="Times New Roman" w:eastAsia="Times New Roman" w:hAnsi="Times New Roman" w:cs="Times New Roman"/>
                <w:b/>
                <w:lang w:eastAsia="es-ES"/>
              </w:rPr>
            </w:pPr>
          </w:p>
        </w:tc>
        <w:tc>
          <w:tcPr>
            <w:tcW w:w="5810" w:type="dxa"/>
            <w:tcBorders>
              <w:top w:val="single" w:sz="6" w:space="0" w:color="auto"/>
              <w:left w:val="single" w:sz="12" w:space="0" w:color="auto"/>
              <w:bottom w:val="single" w:sz="6" w:space="0" w:color="auto"/>
              <w:right w:val="single" w:sz="18" w:space="0" w:color="auto"/>
            </w:tcBorders>
            <w:shd w:val="clear" w:color="auto" w:fill="E7E6E6" w:themeFill="background2"/>
            <w:vAlign w:val="center"/>
          </w:tcPr>
          <w:p w14:paraId="51AC1648" w14:textId="258DAF2C" w:rsidR="008A14ED" w:rsidRPr="00346791" w:rsidRDefault="008A14ED" w:rsidP="004B7319">
            <w:pPr>
              <w:spacing w:before="20" w:after="20" w:line="180" w:lineRule="exact"/>
              <w:jc w:val="both"/>
              <w:rPr>
                <w:rFonts w:ascii="Times New Roman" w:eastAsia="Times New Roman" w:hAnsi="Times New Roman" w:cs="Times New Roman"/>
                <w:color w:val="000000"/>
                <w:sz w:val="20"/>
                <w:szCs w:val="20"/>
                <w:lang w:eastAsia="es-ES"/>
              </w:rPr>
            </w:pPr>
            <w:r w:rsidRPr="00346791">
              <w:rPr>
                <w:rFonts w:ascii="Times New Roman" w:eastAsia="Times New Roman" w:hAnsi="Times New Roman" w:cs="Times New Roman"/>
                <w:color w:val="000000"/>
                <w:sz w:val="20"/>
                <w:szCs w:val="20"/>
                <w:lang w:eastAsia="es-ES"/>
              </w:rPr>
              <w:t>¿Puede prescindirse de la certificación registral si la sociedad adquirente reconoce que es gran tenedor?</w:t>
            </w:r>
            <w:r>
              <w:rPr>
                <w:rFonts w:ascii="Times New Roman" w:eastAsia="Times New Roman" w:hAnsi="Times New Roman" w:cs="Times New Roman"/>
                <w:color w:val="000000"/>
                <w:sz w:val="20"/>
                <w:szCs w:val="20"/>
                <w:lang w:eastAsia="es-ES"/>
              </w:rPr>
              <w:t xml:space="preserve"> Lógicamente sí, ya que es el mismo sujeto afectado quien admite su inclusión en un régimen más desfavorable, bastando entonces que la contraprestación no sea inferior al 70% de la tasación aportada.</w:t>
            </w:r>
          </w:p>
        </w:tc>
      </w:tr>
      <w:tr w:rsidR="008A14ED" w:rsidRPr="000E48AA" w14:paraId="118DB8D4" w14:textId="77777777" w:rsidTr="008A14ED">
        <w:trPr>
          <w:trHeight w:val="320"/>
          <w:jc w:val="center"/>
        </w:trPr>
        <w:tc>
          <w:tcPr>
            <w:tcW w:w="1678" w:type="dxa"/>
            <w:vMerge/>
            <w:tcBorders>
              <w:left w:val="single" w:sz="18" w:space="0" w:color="auto"/>
              <w:right w:val="single" w:sz="12" w:space="0" w:color="auto"/>
            </w:tcBorders>
            <w:shd w:val="clear" w:color="auto" w:fill="E7E6E6" w:themeFill="background2"/>
            <w:vAlign w:val="center"/>
          </w:tcPr>
          <w:p w14:paraId="66EF3D65" w14:textId="77777777" w:rsidR="008A14ED" w:rsidRDefault="008A14ED" w:rsidP="007B0293">
            <w:pPr>
              <w:spacing w:before="60" w:after="60" w:line="200" w:lineRule="exact"/>
              <w:jc w:val="center"/>
              <w:rPr>
                <w:rFonts w:ascii="Times New Roman" w:eastAsia="Times New Roman" w:hAnsi="Times New Roman" w:cs="Times New Roman"/>
                <w:b/>
                <w:lang w:eastAsia="es-ES"/>
              </w:rPr>
            </w:pPr>
          </w:p>
        </w:tc>
        <w:tc>
          <w:tcPr>
            <w:tcW w:w="5810" w:type="dxa"/>
            <w:tcBorders>
              <w:top w:val="single" w:sz="6" w:space="0" w:color="auto"/>
              <w:left w:val="single" w:sz="12" w:space="0" w:color="auto"/>
              <w:bottom w:val="single" w:sz="4" w:space="0" w:color="auto"/>
              <w:right w:val="single" w:sz="18" w:space="0" w:color="auto"/>
            </w:tcBorders>
            <w:shd w:val="clear" w:color="auto" w:fill="E7E6E6" w:themeFill="background2"/>
            <w:vAlign w:val="center"/>
          </w:tcPr>
          <w:p w14:paraId="03132C0E" w14:textId="2987E073" w:rsidR="008A14ED" w:rsidRPr="00346791" w:rsidRDefault="008A14ED" w:rsidP="007268E7">
            <w:pPr>
              <w:spacing w:before="20" w:after="60" w:line="180" w:lineRule="exact"/>
              <w:jc w:val="both"/>
              <w:rPr>
                <w:rFonts w:ascii="Times New Roman" w:eastAsia="Times New Roman" w:hAnsi="Times New Roman" w:cs="Times New Roman"/>
                <w:color w:val="000000"/>
                <w:sz w:val="20"/>
                <w:szCs w:val="20"/>
                <w:lang w:eastAsia="es-ES"/>
              </w:rPr>
            </w:pPr>
            <w:r w:rsidRPr="00346791">
              <w:rPr>
                <w:rFonts w:ascii="Times New Roman" w:eastAsia="Times New Roman" w:hAnsi="Times New Roman" w:cs="Times New Roman"/>
                <w:color w:val="000000"/>
                <w:sz w:val="20"/>
                <w:szCs w:val="20"/>
                <w:lang w:eastAsia="es-ES"/>
              </w:rPr>
              <w:t>¿A los efectos de determinar la condición de gran tenedor</w:t>
            </w:r>
            <w:r>
              <w:rPr>
                <w:rFonts w:ascii="Times New Roman" w:eastAsia="Times New Roman" w:hAnsi="Times New Roman" w:cs="Times New Roman"/>
                <w:color w:val="000000"/>
                <w:sz w:val="20"/>
                <w:szCs w:val="20"/>
                <w:lang w:eastAsia="es-ES"/>
              </w:rPr>
              <w:t>, p</w:t>
            </w:r>
            <w:r w:rsidRPr="00346791">
              <w:rPr>
                <w:rFonts w:ascii="Times New Roman" w:eastAsia="Times New Roman" w:hAnsi="Times New Roman" w:cs="Times New Roman"/>
                <w:color w:val="000000"/>
                <w:sz w:val="20"/>
                <w:szCs w:val="20"/>
                <w:lang w:eastAsia="es-ES"/>
              </w:rPr>
              <w:t>uede completarse</w:t>
            </w:r>
            <w:r w:rsidR="00F815DD">
              <w:rPr>
                <w:rFonts w:ascii="Times New Roman" w:eastAsia="Times New Roman" w:hAnsi="Times New Roman" w:cs="Times New Roman"/>
                <w:color w:val="000000"/>
                <w:sz w:val="20"/>
                <w:szCs w:val="20"/>
                <w:lang w:eastAsia="es-ES"/>
              </w:rPr>
              <w:t xml:space="preserve"> o desvirtuarse</w:t>
            </w:r>
            <w:r w:rsidRPr="00346791">
              <w:rPr>
                <w:rFonts w:ascii="Times New Roman" w:eastAsia="Times New Roman" w:hAnsi="Times New Roman" w:cs="Times New Roman"/>
                <w:color w:val="000000"/>
                <w:sz w:val="20"/>
                <w:szCs w:val="20"/>
                <w:lang w:eastAsia="es-ES"/>
              </w:rPr>
              <w:t xml:space="preserve"> la certificaci</w:t>
            </w:r>
            <w:r w:rsidR="00F815DD">
              <w:rPr>
                <w:rFonts w:ascii="Times New Roman" w:eastAsia="Times New Roman" w:hAnsi="Times New Roman" w:cs="Times New Roman"/>
                <w:color w:val="000000"/>
                <w:sz w:val="20"/>
                <w:szCs w:val="20"/>
                <w:lang w:eastAsia="es-ES"/>
              </w:rPr>
              <w:t>ón</w:t>
            </w:r>
            <w:r w:rsidR="00814B8C">
              <w:rPr>
                <w:rFonts w:ascii="Times New Roman" w:eastAsia="Times New Roman" w:hAnsi="Times New Roman" w:cs="Times New Roman"/>
                <w:color w:val="000000"/>
                <w:sz w:val="20"/>
                <w:szCs w:val="20"/>
                <w:lang w:eastAsia="es-ES"/>
              </w:rPr>
              <w:t xml:space="preserve"> registral</w:t>
            </w:r>
            <w:r w:rsidRPr="00346791">
              <w:rPr>
                <w:rFonts w:ascii="Times New Roman" w:eastAsia="Times New Roman" w:hAnsi="Times New Roman" w:cs="Times New Roman"/>
                <w:color w:val="000000"/>
                <w:sz w:val="20"/>
                <w:szCs w:val="20"/>
                <w:lang w:eastAsia="es-ES"/>
              </w:rPr>
              <w:t xml:space="preserve"> con la escritura en que se haya formalizado una transmisión anterior no inscrita? Por supuesto</w:t>
            </w:r>
            <w:r>
              <w:rPr>
                <w:rFonts w:ascii="Times New Roman" w:eastAsia="Times New Roman" w:hAnsi="Times New Roman" w:cs="Times New Roman"/>
                <w:color w:val="000000"/>
                <w:sz w:val="20"/>
                <w:szCs w:val="20"/>
                <w:lang w:eastAsia="es-ES"/>
              </w:rPr>
              <w:t>, debe primar la situación real.</w:t>
            </w:r>
          </w:p>
        </w:tc>
      </w:tr>
      <w:tr w:rsidR="007268E7" w:rsidRPr="000E48AA" w14:paraId="663C583F" w14:textId="77777777" w:rsidTr="00F815DD">
        <w:trPr>
          <w:trHeight w:val="301"/>
          <w:jc w:val="center"/>
        </w:trPr>
        <w:tc>
          <w:tcPr>
            <w:tcW w:w="1678" w:type="dxa"/>
            <w:vMerge w:val="restart"/>
            <w:tcBorders>
              <w:top w:val="single" w:sz="12" w:space="0" w:color="auto"/>
              <w:left w:val="single" w:sz="18" w:space="0" w:color="auto"/>
              <w:right w:val="single" w:sz="12" w:space="0" w:color="auto"/>
            </w:tcBorders>
            <w:shd w:val="clear" w:color="auto" w:fill="FFFFFF" w:themeFill="background1"/>
            <w:vAlign w:val="center"/>
          </w:tcPr>
          <w:p w14:paraId="313DC37E" w14:textId="32761646" w:rsidR="007268E7" w:rsidRPr="006F4596" w:rsidRDefault="006F4596" w:rsidP="009F546B">
            <w:pPr>
              <w:spacing w:before="60" w:after="60" w:line="200" w:lineRule="exact"/>
              <w:jc w:val="center"/>
              <w:rPr>
                <w:rFonts w:ascii="Times New Roman" w:eastAsia="Times New Roman" w:hAnsi="Times New Roman" w:cs="Times New Roman"/>
                <w:b/>
                <w:sz w:val="20"/>
                <w:szCs w:val="20"/>
                <w:lang w:eastAsia="es-ES"/>
              </w:rPr>
            </w:pPr>
            <w:r w:rsidRPr="006F4596">
              <w:rPr>
                <w:rFonts w:ascii="Times New Roman" w:eastAsia="Times New Roman" w:hAnsi="Times New Roman" w:cs="Times New Roman"/>
                <w:b/>
                <w:sz w:val="20"/>
                <w:szCs w:val="20"/>
                <w:lang w:eastAsia="es-ES"/>
              </w:rPr>
              <w:t>C</w:t>
            </w:r>
            <w:r w:rsidR="007268E7" w:rsidRPr="006F4596">
              <w:rPr>
                <w:rFonts w:ascii="Times New Roman" w:eastAsia="Times New Roman" w:hAnsi="Times New Roman" w:cs="Times New Roman"/>
                <w:b/>
                <w:sz w:val="20"/>
                <w:szCs w:val="20"/>
                <w:lang w:eastAsia="es-ES"/>
              </w:rPr>
              <w:t xml:space="preserve">ertificación </w:t>
            </w:r>
            <w:r w:rsidRPr="006F4596">
              <w:rPr>
                <w:rFonts w:ascii="Times New Roman" w:eastAsia="Times New Roman" w:hAnsi="Times New Roman" w:cs="Times New Roman"/>
                <w:b/>
                <w:sz w:val="20"/>
                <w:szCs w:val="20"/>
                <w:lang w:eastAsia="es-ES"/>
              </w:rPr>
              <w:t>catastral sustitutiva o complementaria</w:t>
            </w:r>
          </w:p>
        </w:tc>
        <w:tc>
          <w:tcPr>
            <w:tcW w:w="5810" w:type="dxa"/>
            <w:tcBorders>
              <w:top w:val="single" w:sz="12" w:space="0" w:color="auto"/>
              <w:left w:val="single" w:sz="12" w:space="0" w:color="auto"/>
              <w:bottom w:val="single" w:sz="4" w:space="0" w:color="auto"/>
              <w:right w:val="single" w:sz="18" w:space="0" w:color="auto"/>
            </w:tcBorders>
            <w:shd w:val="clear" w:color="auto" w:fill="FFFFFF" w:themeFill="background1"/>
            <w:vAlign w:val="center"/>
          </w:tcPr>
          <w:p w14:paraId="29817398" w14:textId="64603020" w:rsidR="007268E7" w:rsidRPr="00D84D35" w:rsidRDefault="007268E7" w:rsidP="007268E7">
            <w:pPr>
              <w:spacing w:before="60" w:after="20" w:line="180" w:lineRule="exact"/>
              <w:jc w:val="both"/>
              <w:rPr>
                <w:rFonts w:ascii="Times New Roman" w:eastAsia="Times New Roman" w:hAnsi="Times New Roman" w:cs="Times New Roman"/>
                <w:sz w:val="20"/>
                <w:szCs w:val="20"/>
                <w:lang w:eastAsia="es-ES"/>
              </w:rPr>
            </w:pPr>
            <w:r w:rsidRPr="00D84D35">
              <w:rPr>
                <w:rFonts w:ascii="Times New Roman" w:eastAsia="Times New Roman" w:hAnsi="Times New Roman" w:cs="Times New Roman"/>
                <w:color w:val="000000"/>
                <w:sz w:val="20"/>
                <w:szCs w:val="20"/>
                <w:lang w:eastAsia="es-ES"/>
              </w:rPr>
              <w:t>¿Puede sustituirse la certificación registral por una certificación catastral? Debería</w:t>
            </w:r>
            <w:r w:rsidR="00D84D35" w:rsidRPr="00D84D35">
              <w:rPr>
                <w:rFonts w:ascii="Times New Roman" w:eastAsia="Times New Roman" w:hAnsi="Times New Roman" w:cs="Times New Roman"/>
                <w:color w:val="000000"/>
                <w:sz w:val="20"/>
                <w:szCs w:val="20"/>
                <w:lang w:eastAsia="es-ES"/>
              </w:rPr>
              <w:t xml:space="preserve">, </w:t>
            </w:r>
            <w:r w:rsidRPr="00D84D35">
              <w:rPr>
                <w:rFonts w:ascii="Times New Roman" w:eastAsia="Times New Roman" w:hAnsi="Times New Roman" w:cs="Times New Roman"/>
                <w:color w:val="000000"/>
                <w:sz w:val="20"/>
                <w:szCs w:val="20"/>
                <w:lang w:eastAsia="es-ES"/>
              </w:rPr>
              <w:t>siempre que se incluya País Vasco y Navarra</w:t>
            </w:r>
            <w:r w:rsidR="00D84D35" w:rsidRPr="00D84D35">
              <w:rPr>
                <w:rFonts w:ascii="Times New Roman" w:eastAsia="Times New Roman" w:hAnsi="Times New Roman" w:cs="Times New Roman"/>
                <w:color w:val="000000"/>
                <w:sz w:val="20"/>
                <w:szCs w:val="20"/>
                <w:lang w:eastAsia="es-ES"/>
              </w:rPr>
              <w:t>,</w:t>
            </w:r>
            <w:r w:rsidRPr="00D84D35">
              <w:rPr>
                <w:rFonts w:ascii="Times New Roman" w:eastAsia="Times New Roman" w:hAnsi="Times New Roman" w:cs="Times New Roman"/>
                <w:color w:val="000000"/>
                <w:sz w:val="20"/>
                <w:szCs w:val="20"/>
                <w:lang w:eastAsia="es-ES"/>
              </w:rPr>
              <w:t xml:space="preserve"> habida cuenta de que el Registro es voluntario y el Catastro obligatorio</w:t>
            </w:r>
            <w:r w:rsidR="00D84D35" w:rsidRPr="00D84D35">
              <w:rPr>
                <w:rFonts w:ascii="Times New Roman" w:eastAsia="Times New Roman" w:hAnsi="Times New Roman" w:cs="Times New Roman"/>
                <w:color w:val="000000"/>
                <w:sz w:val="20"/>
                <w:szCs w:val="20"/>
                <w:lang w:eastAsia="es-ES"/>
              </w:rPr>
              <w:t>, complementada con la manifestación del adquirente.</w:t>
            </w:r>
          </w:p>
        </w:tc>
      </w:tr>
      <w:tr w:rsidR="007268E7" w:rsidRPr="000E48AA" w14:paraId="088DF6ED" w14:textId="77777777" w:rsidTr="007268E7">
        <w:trPr>
          <w:trHeight w:val="633"/>
          <w:jc w:val="center"/>
        </w:trPr>
        <w:tc>
          <w:tcPr>
            <w:tcW w:w="1678" w:type="dxa"/>
            <w:vMerge/>
            <w:tcBorders>
              <w:left w:val="single" w:sz="18" w:space="0" w:color="auto"/>
              <w:right w:val="single" w:sz="12" w:space="0" w:color="auto"/>
            </w:tcBorders>
            <w:shd w:val="clear" w:color="auto" w:fill="FFFFFF" w:themeFill="background1"/>
            <w:vAlign w:val="center"/>
          </w:tcPr>
          <w:p w14:paraId="33E45B15" w14:textId="77777777" w:rsidR="007268E7" w:rsidRDefault="007268E7" w:rsidP="009F546B">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bottom w:val="single" w:sz="4" w:space="0" w:color="auto"/>
              <w:right w:val="single" w:sz="18" w:space="0" w:color="auto"/>
            </w:tcBorders>
            <w:shd w:val="clear" w:color="auto" w:fill="FFFFFF" w:themeFill="background1"/>
            <w:vAlign w:val="center"/>
          </w:tcPr>
          <w:p w14:paraId="5A870314" w14:textId="7675972A" w:rsidR="007268E7" w:rsidRPr="00346791" w:rsidRDefault="006F4596" w:rsidP="007268E7">
            <w:pPr>
              <w:spacing w:before="20" w:after="2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En cualquier caso, haya o no certificación registral, resulta prudente obtener la certificación catastral, pues el alta en el Catastro es obligatoria y su actualización suele ser más rápida que</w:t>
            </w:r>
            <w:r w:rsidR="001F36B3">
              <w:rPr>
                <w:rFonts w:ascii="Times New Roman" w:eastAsia="Times New Roman" w:hAnsi="Times New Roman" w:cs="Times New Roman"/>
                <w:color w:val="000000"/>
                <w:sz w:val="20"/>
                <w:szCs w:val="20"/>
                <w:lang w:eastAsia="es-ES"/>
              </w:rPr>
              <w:t xml:space="preserve"> </w:t>
            </w:r>
            <w:r>
              <w:rPr>
                <w:rFonts w:ascii="Times New Roman" w:eastAsia="Times New Roman" w:hAnsi="Times New Roman" w:cs="Times New Roman"/>
                <w:color w:val="000000"/>
                <w:sz w:val="20"/>
                <w:szCs w:val="20"/>
                <w:lang w:eastAsia="es-ES"/>
              </w:rPr>
              <w:t>la del Registro</w:t>
            </w:r>
            <w:r w:rsidR="001F36B3">
              <w:rPr>
                <w:rFonts w:ascii="Times New Roman" w:eastAsia="Times New Roman" w:hAnsi="Times New Roman" w:cs="Times New Roman"/>
                <w:color w:val="000000"/>
                <w:sz w:val="20"/>
                <w:szCs w:val="20"/>
                <w:lang w:eastAsia="es-ES"/>
              </w:rPr>
              <w:t xml:space="preserve"> por las propias comunicaciones notariales</w:t>
            </w:r>
            <w:r>
              <w:rPr>
                <w:rFonts w:ascii="Times New Roman" w:eastAsia="Times New Roman" w:hAnsi="Times New Roman" w:cs="Times New Roman"/>
                <w:color w:val="000000"/>
                <w:sz w:val="20"/>
                <w:szCs w:val="20"/>
                <w:lang w:eastAsia="es-ES"/>
              </w:rPr>
              <w:t>.</w:t>
            </w:r>
          </w:p>
        </w:tc>
      </w:tr>
      <w:tr w:rsidR="007268E7" w:rsidRPr="0058274D" w14:paraId="5F8D7AEB" w14:textId="77777777" w:rsidTr="006F4596">
        <w:trPr>
          <w:trHeight w:val="632"/>
          <w:jc w:val="center"/>
        </w:trPr>
        <w:tc>
          <w:tcPr>
            <w:tcW w:w="1678" w:type="dxa"/>
            <w:vMerge/>
            <w:tcBorders>
              <w:left w:val="single" w:sz="18" w:space="0" w:color="auto"/>
              <w:bottom w:val="single" w:sz="12" w:space="0" w:color="auto"/>
              <w:right w:val="single" w:sz="12" w:space="0" w:color="auto"/>
            </w:tcBorders>
            <w:shd w:val="clear" w:color="auto" w:fill="FFFFFF" w:themeFill="background1"/>
            <w:vAlign w:val="center"/>
          </w:tcPr>
          <w:p w14:paraId="7E5B5183" w14:textId="77777777" w:rsidR="007268E7" w:rsidRDefault="007268E7" w:rsidP="009F546B">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bottom w:val="single" w:sz="12" w:space="0" w:color="auto"/>
              <w:right w:val="single" w:sz="18" w:space="0" w:color="auto"/>
            </w:tcBorders>
            <w:shd w:val="clear" w:color="auto" w:fill="FFFFFF" w:themeFill="background1"/>
            <w:vAlign w:val="center"/>
          </w:tcPr>
          <w:p w14:paraId="0CAB93A0" w14:textId="670B7E7B" w:rsidR="00836519" w:rsidRDefault="00836519" w:rsidP="007A6BEA">
            <w:pPr>
              <w:spacing w:before="40" w:after="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España régimen común</w:t>
            </w:r>
            <w:r w:rsidR="00B0495E">
              <w:rPr>
                <w:rFonts w:ascii="Times New Roman" w:eastAsia="Times New Roman" w:hAnsi="Times New Roman" w:cs="Times New Roman"/>
                <w:color w:val="000000"/>
                <w:sz w:val="20"/>
                <w:szCs w:val="20"/>
                <w:lang w:eastAsia="es-ES"/>
              </w:rPr>
              <w:t xml:space="preserve"> </w:t>
            </w:r>
            <w:r w:rsidR="00B0495E" w:rsidRPr="00C03AAA">
              <w:rPr>
                <w:rFonts w:ascii="Times New Roman" w:eastAsia="Times New Roman" w:hAnsi="Times New Roman" w:cs="Times New Roman"/>
                <w:color w:val="000000"/>
                <w:sz w:val="16"/>
                <w:szCs w:val="16"/>
                <w:lang w:eastAsia="es-ES"/>
              </w:rPr>
              <w:t>(firma electrónica)</w:t>
            </w:r>
            <w:r>
              <w:rPr>
                <w:rFonts w:ascii="Times New Roman" w:eastAsia="Times New Roman" w:hAnsi="Times New Roman" w:cs="Times New Roman"/>
                <w:color w:val="000000"/>
                <w:sz w:val="20"/>
                <w:szCs w:val="20"/>
                <w:lang w:eastAsia="es-ES"/>
              </w:rPr>
              <w:t xml:space="preserve">: </w:t>
            </w:r>
            <w:hyperlink r:id="rId18" w:history="1">
              <w:r w:rsidR="000548DA" w:rsidRPr="00BF454B">
                <w:rPr>
                  <w:rStyle w:val="Hipervnculo"/>
                  <w:rFonts w:ascii="Times New Roman" w:eastAsia="Times New Roman" w:hAnsi="Times New Roman" w:cs="Times New Roman"/>
                  <w:sz w:val="20"/>
                  <w:szCs w:val="20"/>
                  <w:lang w:eastAsia="es-ES"/>
                </w:rPr>
                <w:t>sedecatastro.gob.es/</w:t>
              </w:r>
            </w:hyperlink>
          </w:p>
          <w:p w14:paraId="1CD8DEA5" w14:textId="14C634A3" w:rsidR="005D674D" w:rsidRDefault="005D674D" w:rsidP="00B32FFA">
            <w:pPr>
              <w:spacing w:after="0" w:line="180" w:lineRule="exact"/>
              <w:jc w:val="both"/>
            </w:pPr>
            <w:r w:rsidRPr="005D674D">
              <w:rPr>
                <w:rFonts w:ascii="Times New Roman" w:eastAsia="Times New Roman" w:hAnsi="Times New Roman" w:cs="Times New Roman"/>
                <w:color w:val="000000"/>
                <w:sz w:val="20"/>
                <w:szCs w:val="20"/>
                <w:lang w:eastAsia="es-ES"/>
              </w:rPr>
              <w:t>Navarra</w:t>
            </w:r>
            <w:r w:rsidR="00B0495E">
              <w:rPr>
                <w:rFonts w:ascii="Times New Roman" w:eastAsia="Times New Roman" w:hAnsi="Times New Roman" w:cs="Times New Roman"/>
                <w:color w:val="000000"/>
                <w:sz w:val="20"/>
                <w:szCs w:val="20"/>
                <w:lang w:eastAsia="es-ES"/>
              </w:rPr>
              <w:t xml:space="preserve"> </w:t>
            </w:r>
            <w:r w:rsidR="00B0495E" w:rsidRPr="00C03AAA">
              <w:rPr>
                <w:rFonts w:ascii="Times New Roman" w:eastAsia="Times New Roman" w:hAnsi="Times New Roman" w:cs="Times New Roman"/>
                <w:color w:val="000000"/>
                <w:sz w:val="16"/>
                <w:szCs w:val="16"/>
                <w:lang w:eastAsia="es-ES"/>
              </w:rPr>
              <w:t>(alta previa</w:t>
            </w:r>
            <w:r w:rsidR="00C03AAA" w:rsidRPr="00C03AAA">
              <w:rPr>
                <w:rFonts w:ascii="Times New Roman" w:eastAsia="Times New Roman" w:hAnsi="Times New Roman" w:cs="Times New Roman"/>
                <w:color w:val="000000"/>
                <w:sz w:val="16"/>
                <w:szCs w:val="16"/>
                <w:lang w:eastAsia="es-ES"/>
              </w:rPr>
              <w:t>, contraseña</w:t>
            </w:r>
            <w:r w:rsidR="00B0495E" w:rsidRPr="00C03AAA">
              <w:rPr>
                <w:rFonts w:ascii="Times New Roman" w:eastAsia="Times New Roman" w:hAnsi="Times New Roman" w:cs="Times New Roman"/>
                <w:color w:val="000000"/>
                <w:sz w:val="16"/>
                <w:szCs w:val="16"/>
                <w:lang w:eastAsia="es-ES"/>
              </w:rPr>
              <w:t>)</w:t>
            </w:r>
            <w:r>
              <w:rPr>
                <w:rFonts w:ascii="Times New Roman" w:eastAsia="Times New Roman" w:hAnsi="Times New Roman" w:cs="Times New Roman"/>
                <w:color w:val="000000"/>
                <w:sz w:val="20"/>
                <w:szCs w:val="20"/>
                <w:lang w:eastAsia="es-ES"/>
              </w:rPr>
              <w:t xml:space="preserve">: </w:t>
            </w:r>
            <w:hyperlink r:id="rId19" w:history="1">
              <w:r w:rsidR="00836519" w:rsidRPr="00BF454B">
                <w:rPr>
                  <w:rStyle w:val="Hipervnculo"/>
                  <w:rFonts w:ascii="Times New Roman" w:eastAsia="Times New Roman" w:hAnsi="Times New Roman" w:cs="Times New Roman"/>
                  <w:sz w:val="20"/>
                  <w:szCs w:val="20"/>
                  <w:lang w:eastAsia="es-ES"/>
                </w:rPr>
                <w:t>navarra.es/es/hacienda/riqueza-territorial</w:t>
              </w:r>
            </w:hyperlink>
          </w:p>
          <w:p w14:paraId="6FF1C792" w14:textId="77777777" w:rsidR="00B0495E" w:rsidRPr="00B32FFA" w:rsidRDefault="00B0495E" w:rsidP="00B0495E">
            <w:pPr>
              <w:spacing w:after="20" w:line="180" w:lineRule="exact"/>
              <w:jc w:val="both"/>
              <w:rPr>
                <w:rFonts w:ascii="Times New Roman" w:eastAsia="Times New Roman" w:hAnsi="Times New Roman" w:cs="Times New Roman"/>
                <w:color w:val="000000"/>
                <w:sz w:val="20"/>
                <w:szCs w:val="20"/>
                <w:lang w:eastAsia="es-ES"/>
              </w:rPr>
            </w:pPr>
            <w:r w:rsidRPr="00B32FFA">
              <w:rPr>
                <w:rFonts w:ascii="Times New Roman" w:eastAsia="Times New Roman" w:hAnsi="Times New Roman" w:cs="Times New Roman"/>
                <w:color w:val="000000"/>
                <w:sz w:val="20"/>
                <w:szCs w:val="20"/>
                <w:lang w:eastAsia="es-ES"/>
              </w:rPr>
              <w:t>Bizkaia</w:t>
            </w:r>
            <w:r>
              <w:rPr>
                <w:rFonts w:ascii="Times New Roman" w:eastAsia="Times New Roman" w:hAnsi="Times New Roman" w:cs="Times New Roman"/>
                <w:color w:val="000000"/>
                <w:sz w:val="20"/>
                <w:szCs w:val="20"/>
                <w:lang w:eastAsia="es-ES"/>
              </w:rPr>
              <w:t xml:space="preserve"> </w:t>
            </w:r>
            <w:r w:rsidRPr="00C03AAA">
              <w:rPr>
                <w:rFonts w:ascii="Times New Roman" w:eastAsia="Times New Roman" w:hAnsi="Times New Roman" w:cs="Times New Roman"/>
                <w:color w:val="000000"/>
                <w:sz w:val="16"/>
                <w:szCs w:val="16"/>
                <w:lang w:eastAsia="es-ES"/>
              </w:rPr>
              <w:t>(firma electrónica)</w:t>
            </w:r>
            <w:r w:rsidRPr="00B32FFA">
              <w:rPr>
                <w:rFonts w:ascii="Times New Roman" w:eastAsia="Times New Roman" w:hAnsi="Times New Roman" w:cs="Times New Roman"/>
                <w:color w:val="000000"/>
                <w:sz w:val="20"/>
                <w:szCs w:val="20"/>
                <w:lang w:eastAsia="es-ES"/>
              </w:rPr>
              <w:t xml:space="preserve">: </w:t>
            </w:r>
            <w:hyperlink r:id="rId20" w:history="1">
              <w:r w:rsidRPr="00B32FFA">
                <w:rPr>
                  <w:rStyle w:val="Hipervnculo"/>
                  <w:rFonts w:ascii="Times New Roman" w:eastAsia="Times New Roman" w:hAnsi="Times New Roman" w:cs="Times New Roman"/>
                  <w:sz w:val="20"/>
                  <w:szCs w:val="20"/>
                  <w:lang w:eastAsia="es-ES"/>
                </w:rPr>
                <w:t>bizkaia.eus/es/catastro-de-bizkaia</w:t>
              </w:r>
            </w:hyperlink>
          </w:p>
          <w:p w14:paraId="3868C146" w14:textId="0FC70942" w:rsidR="00836519" w:rsidRDefault="00836519" w:rsidP="00B32FFA">
            <w:pPr>
              <w:spacing w:after="0" w:line="180" w:lineRule="exact"/>
              <w:jc w:val="both"/>
              <w:rPr>
                <w:rFonts w:ascii="Times New Roman" w:eastAsia="Times New Roman" w:hAnsi="Times New Roman" w:cs="Times New Roman"/>
                <w:color w:val="000000"/>
                <w:sz w:val="20"/>
                <w:szCs w:val="20"/>
                <w:lang w:eastAsia="es-ES"/>
              </w:rPr>
            </w:pPr>
            <w:r w:rsidRPr="00836519">
              <w:rPr>
                <w:rFonts w:ascii="Times New Roman" w:eastAsia="Times New Roman" w:hAnsi="Times New Roman" w:cs="Times New Roman"/>
                <w:color w:val="000000"/>
                <w:sz w:val="20"/>
                <w:szCs w:val="20"/>
                <w:lang w:eastAsia="es-ES"/>
              </w:rPr>
              <w:t xml:space="preserve">Álava:  </w:t>
            </w:r>
            <w:hyperlink r:id="rId21" w:history="1">
              <w:r w:rsidRPr="00BF454B">
                <w:rPr>
                  <w:rStyle w:val="Hipervnculo"/>
                  <w:rFonts w:ascii="Times New Roman" w:eastAsia="Times New Roman" w:hAnsi="Times New Roman" w:cs="Times New Roman"/>
                  <w:sz w:val="20"/>
                  <w:szCs w:val="20"/>
                  <w:lang w:eastAsia="es-ES"/>
                </w:rPr>
                <w:t>catastroalava.tracasa.es/</w:t>
              </w:r>
            </w:hyperlink>
          </w:p>
          <w:p w14:paraId="10531D08" w14:textId="5954C3B2" w:rsidR="00836519" w:rsidRPr="0058274D" w:rsidRDefault="00836519" w:rsidP="00B32FFA">
            <w:pPr>
              <w:spacing w:after="60" w:line="180" w:lineRule="exact"/>
              <w:jc w:val="both"/>
              <w:rPr>
                <w:rFonts w:ascii="Times New Roman" w:eastAsia="Times New Roman" w:hAnsi="Times New Roman" w:cs="Times New Roman"/>
                <w:color w:val="000000"/>
                <w:sz w:val="20"/>
                <w:szCs w:val="20"/>
                <w:lang w:eastAsia="es-ES"/>
              </w:rPr>
            </w:pPr>
            <w:r w:rsidRPr="0058274D">
              <w:rPr>
                <w:rFonts w:ascii="Times New Roman" w:eastAsia="Times New Roman" w:hAnsi="Times New Roman" w:cs="Times New Roman"/>
                <w:color w:val="000000"/>
                <w:sz w:val="20"/>
                <w:szCs w:val="20"/>
                <w:lang w:eastAsia="es-ES"/>
              </w:rPr>
              <w:t xml:space="preserve">Gipuzkoa: </w:t>
            </w:r>
            <w:hyperlink r:id="rId22" w:history="1">
              <w:r w:rsidRPr="0058274D">
                <w:rPr>
                  <w:rStyle w:val="Hipervnculo"/>
                  <w:rFonts w:ascii="Times New Roman" w:eastAsia="Times New Roman" w:hAnsi="Times New Roman" w:cs="Times New Roman"/>
                  <w:sz w:val="20"/>
                  <w:szCs w:val="20"/>
                  <w:lang w:eastAsia="es-ES"/>
                </w:rPr>
                <w:t>ssl7.gipuzkoa.net/OgasunaNet/Catastro/porDP.asp</w:t>
              </w:r>
            </w:hyperlink>
          </w:p>
        </w:tc>
      </w:tr>
      <w:tr w:rsidR="006F4596" w:rsidRPr="000E48AA" w14:paraId="41DA87EE" w14:textId="77777777" w:rsidTr="00B900F7">
        <w:trPr>
          <w:trHeight w:val="301"/>
          <w:jc w:val="center"/>
        </w:trPr>
        <w:tc>
          <w:tcPr>
            <w:tcW w:w="1678" w:type="dxa"/>
            <w:tcBorders>
              <w:top w:val="single" w:sz="12" w:space="0" w:color="auto"/>
              <w:left w:val="single" w:sz="18" w:space="0" w:color="auto"/>
              <w:right w:val="single" w:sz="12" w:space="0" w:color="auto"/>
            </w:tcBorders>
            <w:shd w:val="clear" w:color="auto" w:fill="E7E6E6" w:themeFill="background2"/>
            <w:vAlign w:val="center"/>
          </w:tcPr>
          <w:p w14:paraId="67697D89" w14:textId="7D66AD00" w:rsidR="006F4596" w:rsidRDefault="006F4596" w:rsidP="009F546B">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Manifestación</w:t>
            </w:r>
            <w:r w:rsidR="008D3377">
              <w:rPr>
                <w:rFonts w:ascii="Times New Roman" w:eastAsia="Times New Roman" w:hAnsi="Times New Roman" w:cs="Times New Roman"/>
                <w:b/>
                <w:lang w:eastAsia="es-ES"/>
              </w:rPr>
              <w:t xml:space="preserve"> sustitutiva</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5501D1CD" w14:textId="70976792" w:rsidR="006F4596" w:rsidRDefault="006F4596" w:rsidP="0026063B">
            <w:pPr>
              <w:spacing w:before="60" w:after="6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¿Puede simplemente manifestarse por el comprador en la escritura que no es gran tenedor y remitirse a la comprobación que haga posteriormente el Registro de la Propiedad? Son controles independientes</w:t>
            </w:r>
            <w:r w:rsidR="00456791">
              <w:rPr>
                <w:rFonts w:ascii="Times New Roman" w:eastAsia="Times New Roman" w:hAnsi="Times New Roman" w:cs="Times New Roman"/>
                <w:color w:val="000000"/>
                <w:sz w:val="20"/>
                <w:szCs w:val="20"/>
                <w:lang w:eastAsia="es-ES"/>
              </w:rPr>
              <w:t xml:space="preserve"> y el notario no puede hacer dejación de sus funciones;</w:t>
            </w:r>
            <w:r>
              <w:rPr>
                <w:rFonts w:ascii="Times New Roman" w:eastAsia="Times New Roman" w:hAnsi="Times New Roman" w:cs="Times New Roman"/>
                <w:color w:val="000000"/>
                <w:sz w:val="20"/>
                <w:szCs w:val="20"/>
                <w:lang w:eastAsia="es-ES"/>
              </w:rPr>
              <w:t xml:space="preserve"> </w:t>
            </w:r>
            <w:r w:rsidR="00456791">
              <w:rPr>
                <w:rFonts w:ascii="Times New Roman" w:eastAsia="Times New Roman" w:hAnsi="Times New Roman" w:cs="Times New Roman"/>
                <w:color w:val="000000"/>
                <w:sz w:val="20"/>
                <w:szCs w:val="20"/>
                <w:lang w:eastAsia="es-ES"/>
              </w:rPr>
              <w:t>tampoco</w:t>
            </w:r>
            <w:r>
              <w:rPr>
                <w:rFonts w:ascii="Times New Roman" w:eastAsia="Times New Roman" w:hAnsi="Times New Roman" w:cs="Times New Roman"/>
                <w:color w:val="000000"/>
                <w:sz w:val="20"/>
                <w:szCs w:val="20"/>
                <w:lang w:eastAsia="es-ES"/>
              </w:rPr>
              <w:t xml:space="preserve"> resulta conveniente para </w:t>
            </w:r>
            <w:r w:rsidR="00456791">
              <w:rPr>
                <w:rFonts w:ascii="Times New Roman" w:eastAsia="Times New Roman" w:hAnsi="Times New Roman" w:cs="Times New Roman"/>
                <w:color w:val="000000"/>
                <w:sz w:val="20"/>
                <w:szCs w:val="20"/>
                <w:lang w:eastAsia="es-ES"/>
              </w:rPr>
              <w:t>ambas partes</w:t>
            </w:r>
            <w:r w:rsidR="0056769B">
              <w:rPr>
                <w:rFonts w:ascii="Times New Roman" w:eastAsia="Times New Roman" w:hAnsi="Times New Roman" w:cs="Times New Roman"/>
                <w:color w:val="000000"/>
                <w:sz w:val="20"/>
                <w:szCs w:val="20"/>
                <w:lang w:eastAsia="es-ES"/>
              </w:rPr>
              <w:t>,</w:t>
            </w:r>
            <w:r>
              <w:rPr>
                <w:rFonts w:ascii="Times New Roman" w:eastAsia="Times New Roman" w:hAnsi="Times New Roman" w:cs="Times New Roman"/>
                <w:color w:val="000000"/>
                <w:sz w:val="20"/>
                <w:szCs w:val="20"/>
                <w:lang w:eastAsia="es-ES"/>
              </w:rPr>
              <w:t xml:space="preserve"> ni tal comprobación está garantizada al ser la inscripción voluntaria.</w:t>
            </w:r>
          </w:p>
        </w:tc>
      </w:tr>
      <w:tr w:rsidR="00F773B7" w:rsidRPr="000E48AA" w14:paraId="0271809F" w14:textId="77777777" w:rsidTr="00F773B7">
        <w:trPr>
          <w:trHeight w:val="300"/>
          <w:jc w:val="center"/>
        </w:trPr>
        <w:tc>
          <w:tcPr>
            <w:tcW w:w="1678" w:type="dxa"/>
            <w:tcBorders>
              <w:top w:val="single" w:sz="12" w:space="0" w:color="auto"/>
              <w:left w:val="single" w:sz="18" w:space="0" w:color="auto"/>
              <w:bottom w:val="single" w:sz="12" w:space="0" w:color="auto"/>
              <w:right w:val="single" w:sz="12" w:space="0" w:color="auto"/>
            </w:tcBorders>
            <w:vAlign w:val="center"/>
          </w:tcPr>
          <w:p w14:paraId="4BAEA814" w14:textId="276C871B" w:rsidR="00F773B7" w:rsidRDefault="00F773B7" w:rsidP="009F546B">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Condición suspensiva</w:t>
            </w:r>
          </w:p>
        </w:tc>
        <w:tc>
          <w:tcPr>
            <w:tcW w:w="5810" w:type="dxa"/>
            <w:tcBorders>
              <w:top w:val="single" w:sz="12" w:space="0" w:color="auto"/>
              <w:left w:val="single" w:sz="12" w:space="0" w:color="auto"/>
              <w:bottom w:val="single" w:sz="12" w:space="0" w:color="auto"/>
              <w:right w:val="single" w:sz="18" w:space="0" w:color="auto"/>
            </w:tcBorders>
            <w:vAlign w:val="center"/>
          </w:tcPr>
          <w:p w14:paraId="52AA4048" w14:textId="77777777" w:rsidR="00F773B7" w:rsidRDefault="00DA78C8" w:rsidP="00DA78C8">
            <w:pPr>
              <w:spacing w:before="60" w:after="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¿Puede condicionarse la adquisición suspensiva a la posterior observancia de los requisitos exigidos por el DL 29/2026?</w:t>
            </w:r>
          </w:p>
          <w:p w14:paraId="09B2C459" w14:textId="4DDF1DDD" w:rsidR="00DA78C8" w:rsidRDefault="00DA78C8" w:rsidP="00DA78C8">
            <w:pPr>
              <w:spacing w:after="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 Si la condición es de acreditación de tales requisitos, quizás quepa admitirla en los casos de urgencia demostrada y si se prevé en la propia escritura que el cumplimiento de la condición habrá de acreditarse notarialmente en un breve plazo.</w:t>
            </w:r>
          </w:p>
          <w:p w14:paraId="0672F018" w14:textId="38E4B2F4" w:rsidR="00DA78C8" w:rsidRDefault="00DA78C8" w:rsidP="00DA78C8">
            <w:pPr>
              <w:spacing w:after="60" w:line="180" w:lineRule="exact"/>
              <w:jc w:val="both"/>
              <w:rPr>
                <w:rFonts w:ascii="Times New Roman" w:eastAsia="Times New Roman" w:hAnsi="Times New Roman" w:cs="Times New Roman"/>
                <w:color w:val="000000"/>
                <w:sz w:val="20"/>
                <w:szCs w:val="20"/>
                <w:lang w:eastAsia="es-ES"/>
              </w:rPr>
            </w:pPr>
            <w:r>
              <w:rPr>
                <w:rFonts w:ascii="Times New Roman" w:eastAsia="Times New Roman" w:hAnsi="Times New Roman" w:cs="Times New Roman"/>
                <w:color w:val="000000"/>
                <w:sz w:val="20"/>
                <w:szCs w:val="20"/>
                <w:lang w:eastAsia="es-ES"/>
              </w:rPr>
              <w:t>- Si la condición es de cumplimiento de tales requisitos, de manera que la adquisición se haría efectiva cuando la sociedad dejase de tener la condición de gran tenedor, constituye un fraude a la norma, la cual toma en consideración la fecha del acuerdo vinculante.</w:t>
            </w:r>
          </w:p>
        </w:tc>
      </w:tr>
    </w:tbl>
    <w:p w14:paraId="2DCDB0F5" w14:textId="7B3D8F56" w:rsidR="0000510F" w:rsidRDefault="0000510F" w:rsidP="00FA04B7"/>
    <w:bookmarkEnd w:id="5"/>
    <w:p w14:paraId="03B0CF68" w14:textId="77777777" w:rsidR="0000510F" w:rsidRDefault="0000510F">
      <w:r>
        <w:br w:type="page"/>
      </w:r>
    </w:p>
    <w:p w14:paraId="4CAFB087" w14:textId="77777777" w:rsidR="00BC1B8C" w:rsidRDefault="00BC1B8C" w:rsidP="00BC1B8C">
      <w:bookmarkStart w:id="7" w:name="_Hlk24294890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BC1B8C" w:rsidRPr="000E48AA" w14:paraId="192BEDDD" w14:textId="77777777" w:rsidTr="00113E3C">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0B13FF0B" w14:textId="060ACB65" w:rsidR="00BC1B8C" w:rsidRPr="00963114" w:rsidRDefault="0000510F" w:rsidP="00113E3C">
            <w:pPr>
              <w:spacing w:before="60" w:after="60" w:line="24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5</w:t>
            </w:r>
            <w:r w:rsidR="00BC1B8C" w:rsidRPr="00B93DCD">
              <w:rPr>
                <w:rFonts w:ascii="Times New Roman" w:eastAsia="Times New Roman" w:hAnsi="Times New Roman" w:cs="Times New Roman"/>
                <w:b/>
                <w:color w:val="000000"/>
                <w:sz w:val="24"/>
                <w:szCs w:val="24"/>
                <w:lang w:eastAsia="es-ES"/>
              </w:rPr>
              <w:t xml:space="preserve">. </w:t>
            </w:r>
            <w:hyperlink r:id="rId23" w:history="1">
              <w:r w:rsidR="00BC1B8C" w:rsidRPr="00B93DCD">
                <w:rPr>
                  <w:rStyle w:val="Hipervnculo"/>
                  <w:rFonts w:ascii="Times New Roman" w:eastAsia="Times New Roman" w:hAnsi="Times New Roman" w:cs="Times New Roman"/>
                  <w:b/>
                  <w:sz w:val="24"/>
                  <w:szCs w:val="24"/>
                  <w:lang w:eastAsia="es-ES"/>
                </w:rPr>
                <w:t>ARTÍCULO 1 DL 29/2026</w:t>
              </w:r>
            </w:hyperlink>
            <w:r w:rsidR="00BC1B8C" w:rsidRPr="00B93DCD">
              <w:rPr>
                <w:rFonts w:ascii="Times New Roman" w:eastAsia="Times New Roman" w:hAnsi="Times New Roman" w:cs="Times New Roman"/>
                <w:b/>
                <w:color w:val="000000"/>
                <w:sz w:val="24"/>
                <w:szCs w:val="24"/>
                <w:lang w:eastAsia="es-ES"/>
              </w:rPr>
              <w:t xml:space="preserve">. </w:t>
            </w:r>
            <w:bookmarkStart w:id="8" w:name="NEGOCIOS"/>
            <w:bookmarkEnd w:id="8"/>
            <w:r w:rsidR="003207D1">
              <w:rPr>
                <w:rFonts w:ascii="Times New Roman" w:eastAsia="Times New Roman" w:hAnsi="Times New Roman" w:cs="Times New Roman"/>
                <w:b/>
                <w:color w:val="000000"/>
                <w:sz w:val="24"/>
                <w:szCs w:val="24"/>
                <w:lang w:eastAsia="es-ES"/>
              </w:rPr>
              <w:t>NEGOCIOS</w:t>
            </w:r>
            <w:r w:rsidR="00BC1B8C" w:rsidRPr="00B93DCD">
              <w:rPr>
                <w:rFonts w:ascii="Times New Roman" w:eastAsia="Times New Roman" w:hAnsi="Times New Roman" w:cs="Times New Roman"/>
                <w:b/>
                <w:color w:val="000000"/>
                <w:sz w:val="24"/>
                <w:szCs w:val="24"/>
                <w:lang w:eastAsia="es-ES"/>
              </w:rPr>
              <w:t xml:space="preserve"> DISCUTID</w:t>
            </w:r>
            <w:r w:rsidR="003207D1">
              <w:rPr>
                <w:rFonts w:ascii="Times New Roman" w:eastAsia="Times New Roman" w:hAnsi="Times New Roman" w:cs="Times New Roman"/>
                <w:b/>
                <w:color w:val="000000"/>
                <w:sz w:val="24"/>
                <w:szCs w:val="24"/>
                <w:lang w:eastAsia="es-ES"/>
              </w:rPr>
              <w:t>O</w:t>
            </w:r>
            <w:r w:rsidR="00BC1B8C" w:rsidRPr="00B93DCD">
              <w:rPr>
                <w:rFonts w:ascii="Times New Roman" w:eastAsia="Times New Roman" w:hAnsi="Times New Roman" w:cs="Times New Roman"/>
                <w:b/>
                <w:color w:val="000000"/>
                <w:sz w:val="24"/>
                <w:szCs w:val="24"/>
                <w:lang w:eastAsia="es-ES"/>
              </w:rPr>
              <w:t>S</w:t>
            </w:r>
          </w:p>
        </w:tc>
      </w:tr>
      <w:tr w:rsidR="00FD7BD0" w:rsidRPr="000E48AA" w14:paraId="6FF4C6A0" w14:textId="77777777" w:rsidTr="000A0B9C">
        <w:trPr>
          <w:trHeight w:val="426"/>
          <w:jc w:val="center"/>
        </w:trPr>
        <w:tc>
          <w:tcPr>
            <w:tcW w:w="1678" w:type="dxa"/>
            <w:vMerge w:val="restart"/>
            <w:tcBorders>
              <w:top w:val="single" w:sz="12" w:space="0" w:color="auto"/>
              <w:left w:val="single" w:sz="18" w:space="0" w:color="auto"/>
              <w:right w:val="single" w:sz="12" w:space="0" w:color="auto"/>
            </w:tcBorders>
            <w:vAlign w:val="center"/>
          </w:tcPr>
          <w:p w14:paraId="3D12E61A" w14:textId="0414A709" w:rsidR="00FD7BD0" w:rsidRPr="00BC4435" w:rsidRDefault="00BC4435" w:rsidP="004538B9">
            <w:pPr>
              <w:spacing w:before="60" w:after="60" w:line="200" w:lineRule="exact"/>
              <w:jc w:val="center"/>
              <w:rPr>
                <w:rFonts w:ascii="Times New Roman" w:eastAsia="Times New Roman" w:hAnsi="Times New Roman" w:cs="Times New Roman"/>
                <w:b/>
                <w:lang w:eastAsia="es-ES"/>
              </w:rPr>
            </w:pPr>
            <w:r w:rsidRPr="00BC4435">
              <w:rPr>
                <w:rFonts w:ascii="Times New Roman" w:eastAsia="Times New Roman" w:hAnsi="Times New Roman" w:cs="Times New Roman"/>
                <w:b/>
                <w:lang w:eastAsia="es-ES"/>
              </w:rPr>
              <w:t>A</w:t>
            </w:r>
            <w:r w:rsidR="00FD7BD0" w:rsidRPr="00BC4435">
              <w:rPr>
                <w:rFonts w:ascii="Times New Roman" w:eastAsia="Times New Roman" w:hAnsi="Times New Roman" w:cs="Times New Roman"/>
                <w:b/>
                <w:lang w:eastAsia="es-ES"/>
              </w:rPr>
              <w:t>dquisici</w:t>
            </w:r>
            <w:r w:rsidRPr="00BC4435">
              <w:rPr>
                <w:rFonts w:ascii="Times New Roman" w:eastAsia="Times New Roman" w:hAnsi="Times New Roman" w:cs="Times New Roman"/>
                <w:b/>
                <w:lang w:eastAsia="es-ES"/>
              </w:rPr>
              <w:t>ón</w:t>
            </w:r>
            <w:r w:rsidR="00FD7BD0" w:rsidRPr="00BC4435">
              <w:rPr>
                <w:rFonts w:ascii="Times New Roman" w:eastAsia="Times New Roman" w:hAnsi="Times New Roman" w:cs="Times New Roman"/>
                <w:b/>
                <w:lang w:eastAsia="es-ES"/>
              </w:rPr>
              <w:t xml:space="preserve"> simultánea</w:t>
            </w:r>
          </w:p>
        </w:tc>
        <w:tc>
          <w:tcPr>
            <w:tcW w:w="5810" w:type="dxa"/>
            <w:tcBorders>
              <w:top w:val="single" w:sz="12" w:space="0" w:color="auto"/>
              <w:left w:val="single" w:sz="12" w:space="0" w:color="auto"/>
              <w:bottom w:val="single" w:sz="6" w:space="0" w:color="auto"/>
              <w:right w:val="single" w:sz="18" w:space="0" w:color="auto"/>
            </w:tcBorders>
            <w:vAlign w:val="center"/>
          </w:tcPr>
          <w:p w14:paraId="19125933" w14:textId="364FF6DC" w:rsidR="00FD7BD0" w:rsidRPr="000A0B9C" w:rsidRDefault="00FD7BD0" w:rsidP="000A0B9C">
            <w:pPr>
              <w:spacing w:before="60" w:after="20" w:line="200" w:lineRule="exact"/>
              <w:jc w:val="both"/>
              <w:rPr>
                <w:rFonts w:ascii="Times New Roman" w:eastAsia="Times New Roman" w:hAnsi="Times New Roman" w:cs="Times New Roman"/>
                <w:color w:val="000000"/>
                <w:lang w:eastAsia="es-ES"/>
              </w:rPr>
            </w:pPr>
            <w:r w:rsidRPr="000A0B9C">
              <w:rPr>
                <w:rFonts w:ascii="Times New Roman" w:eastAsia="Times New Roman" w:hAnsi="Times New Roman" w:cs="Times New Roman"/>
                <w:color w:val="000000"/>
                <w:lang w:eastAsia="es-ES"/>
              </w:rPr>
              <w:t>¿Cuándo se ha de ser titular de las 11 viviendas para ser considerado gran tenedor? Si la sociedad es titular de 9 viviendas y adquiere simultáneamente otras 3 ¿afecta la limitación a la 12ª, a la 11ª y 12ª o a la 10ª, 11ª y 12ª?</w:t>
            </w:r>
          </w:p>
        </w:tc>
      </w:tr>
      <w:tr w:rsidR="00FD7BD0" w:rsidRPr="000E48AA" w14:paraId="576A33C0" w14:textId="77777777" w:rsidTr="000A0B9C">
        <w:trPr>
          <w:trHeight w:val="425"/>
          <w:jc w:val="center"/>
        </w:trPr>
        <w:tc>
          <w:tcPr>
            <w:tcW w:w="1678" w:type="dxa"/>
            <w:vMerge/>
            <w:tcBorders>
              <w:left w:val="single" w:sz="18" w:space="0" w:color="auto"/>
              <w:right w:val="single" w:sz="12" w:space="0" w:color="auto"/>
            </w:tcBorders>
            <w:vAlign w:val="center"/>
          </w:tcPr>
          <w:p w14:paraId="39D0F52F" w14:textId="77777777" w:rsidR="00FD7BD0" w:rsidRPr="004538B9" w:rsidRDefault="00FD7BD0" w:rsidP="004538B9">
            <w:pPr>
              <w:spacing w:before="60" w:after="60" w:line="200" w:lineRule="exact"/>
              <w:jc w:val="center"/>
              <w:rPr>
                <w:rFonts w:ascii="Times New Roman" w:eastAsia="Times New Roman" w:hAnsi="Times New Roman" w:cs="Times New Roman"/>
                <w:b/>
                <w:i/>
                <w:iCs/>
                <w:lang w:eastAsia="es-ES"/>
              </w:rPr>
            </w:pPr>
          </w:p>
        </w:tc>
        <w:tc>
          <w:tcPr>
            <w:tcW w:w="5810" w:type="dxa"/>
            <w:tcBorders>
              <w:top w:val="single" w:sz="6" w:space="0" w:color="auto"/>
              <w:left w:val="single" w:sz="12" w:space="0" w:color="auto"/>
              <w:bottom w:val="single" w:sz="4" w:space="0" w:color="auto"/>
              <w:right w:val="single" w:sz="18" w:space="0" w:color="auto"/>
            </w:tcBorders>
            <w:vAlign w:val="center"/>
          </w:tcPr>
          <w:p w14:paraId="5320561C" w14:textId="2D3989A9" w:rsidR="00FD7BD0" w:rsidRPr="000A0B9C" w:rsidRDefault="00FD7BD0" w:rsidP="000A0B9C">
            <w:pPr>
              <w:spacing w:before="40" w:after="0" w:line="200" w:lineRule="exact"/>
              <w:jc w:val="both"/>
              <w:rPr>
                <w:rFonts w:ascii="Times New Roman" w:eastAsia="Times New Roman" w:hAnsi="Times New Roman" w:cs="Times New Roman"/>
                <w:color w:val="000000"/>
                <w:lang w:eastAsia="es-ES"/>
              </w:rPr>
            </w:pPr>
            <w:r w:rsidRPr="000A0B9C">
              <w:rPr>
                <w:rFonts w:ascii="Times New Roman" w:eastAsia="Times New Roman" w:hAnsi="Times New Roman" w:cs="Times New Roman"/>
                <w:color w:val="000000"/>
                <w:lang w:eastAsia="es-ES"/>
              </w:rPr>
              <w:t>Si sirve de referencia la legislación fiscal autonómica:</w:t>
            </w:r>
          </w:p>
          <w:p w14:paraId="2FB2932A" w14:textId="77777777" w:rsidR="00FD7BD0" w:rsidRPr="000A0B9C" w:rsidRDefault="00FD7BD0" w:rsidP="000A0B9C">
            <w:pPr>
              <w:spacing w:after="0" w:line="200" w:lineRule="exact"/>
              <w:jc w:val="both"/>
              <w:rPr>
                <w:rFonts w:ascii="Times New Roman" w:eastAsia="Times New Roman" w:hAnsi="Times New Roman" w:cs="Times New Roman"/>
                <w:color w:val="000000"/>
                <w:lang w:eastAsia="es-ES"/>
              </w:rPr>
            </w:pPr>
            <w:r w:rsidRPr="000A0B9C">
              <w:rPr>
                <w:rFonts w:ascii="Times New Roman" w:eastAsia="Times New Roman" w:hAnsi="Times New Roman" w:cs="Times New Roman"/>
                <w:color w:val="000000"/>
                <w:lang w:eastAsia="es-ES"/>
              </w:rPr>
              <w:t>- En Cataluña la condición de gran tenedor se mide en relación a la situación anterior a la adquisición de la vivienda o viviendas que determinarían tal condición (gráficamente, cuando la persona «entra» en la notaría, no cuando «sale»).</w:t>
            </w:r>
          </w:p>
          <w:p w14:paraId="205AD355" w14:textId="2C1B81D1" w:rsidR="00FD7BD0" w:rsidRPr="000A0B9C" w:rsidRDefault="00FD7BD0" w:rsidP="000A0B9C">
            <w:pPr>
              <w:spacing w:after="60" w:line="200" w:lineRule="exact"/>
              <w:jc w:val="both"/>
              <w:rPr>
                <w:rFonts w:ascii="Times New Roman" w:eastAsia="Times New Roman" w:hAnsi="Times New Roman" w:cs="Times New Roman"/>
                <w:color w:val="000000"/>
                <w:lang w:eastAsia="es-ES"/>
              </w:rPr>
            </w:pPr>
            <w:r w:rsidRPr="000A0B9C">
              <w:rPr>
                <w:rFonts w:ascii="Times New Roman" w:eastAsia="Times New Roman" w:hAnsi="Times New Roman" w:cs="Times New Roman"/>
                <w:color w:val="000000"/>
                <w:lang w:eastAsia="es-ES"/>
              </w:rPr>
              <w:t>-</w:t>
            </w:r>
            <w:r w:rsidR="00264F76" w:rsidRPr="000A0B9C">
              <w:rPr>
                <w:rFonts w:ascii="Times New Roman" w:eastAsia="Times New Roman" w:hAnsi="Times New Roman" w:cs="Times New Roman"/>
                <w:color w:val="000000"/>
                <w:lang w:eastAsia="es-ES"/>
              </w:rPr>
              <w:t xml:space="preserve"> </w:t>
            </w:r>
            <w:r w:rsidRPr="000A0B9C">
              <w:rPr>
                <w:rFonts w:ascii="Times New Roman" w:eastAsia="Times New Roman" w:hAnsi="Times New Roman" w:cs="Times New Roman"/>
                <w:color w:val="000000"/>
                <w:lang w:eastAsia="es-ES"/>
              </w:rPr>
              <w:t>Pero en Asturias el precepto añade la coletilla “</w:t>
            </w:r>
            <w:r w:rsidRPr="000A0B9C">
              <w:rPr>
                <w:rFonts w:ascii="Times New Roman" w:eastAsia="Times New Roman" w:hAnsi="Times New Roman" w:cs="Times New Roman"/>
                <w:i/>
                <w:iCs/>
                <w:color w:val="000000"/>
                <w:lang w:eastAsia="es-ES"/>
              </w:rPr>
              <w:t>... o que con la adquisición objeto de gravamen se conviertan...</w:t>
            </w:r>
            <w:r w:rsidRPr="000A0B9C">
              <w:rPr>
                <w:rFonts w:ascii="Times New Roman" w:eastAsia="Times New Roman" w:hAnsi="Times New Roman" w:cs="Times New Roman"/>
                <w:color w:val="000000"/>
                <w:lang w:eastAsia="es-ES"/>
              </w:rPr>
              <w:t>”, por lo que computan las viviendas que se adquieren (gráficamente, cuando la persona «está» en la notaría).</w:t>
            </w:r>
          </w:p>
        </w:tc>
      </w:tr>
      <w:tr w:rsidR="004538B9" w:rsidRPr="000E48AA" w14:paraId="4F9350FD" w14:textId="77777777" w:rsidTr="004538B9">
        <w:trPr>
          <w:trHeight w:val="301"/>
          <w:jc w:val="center"/>
        </w:trPr>
        <w:tc>
          <w:tcPr>
            <w:tcW w:w="1678" w:type="dxa"/>
            <w:tcBorders>
              <w:top w:val="single" w:sz="12" w:space="0" w:color="auto"/>
              <w:left w:val="single" w:sz="18" w:space="0" w:color="auto"/>
              <w:right w:val="single" w:sz="12" w:space="0" w:color="auto"/>
            </w:tcBorders>
            <w:shd w:val="clear" w:color="auto" w:fill="E7E6E6" w:themeFill="background2"/>
            <w:vAlign w:val="center"/>
          </w:tcPr>
          <w:p w14:paraId="04DF6E85" w14:textId="77777777" w:rsidR="004538B9" w:rsidRPr="00DF5430" w:rsidRDefault="004538B9" w:rsidP="004538B9">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Adquisiciones mortis causa</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0A9F8C55" w14:textId="77777777" w:rsidR="004538B9" w:rsidRPr="000A0B9C" w:rsidRDefault="004538B9" w:rsidP="000A0B9C">
            <w:pPr>
              <w:spacing w:before="60" w:after="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 xml:space="preserve">Lo de que se incluya en la limitación temporal del DL 29/1926 las adquisiciones gratuitas sólo puede entenderse desde el tópico jurídico, por cuanto la limitación viene referida en el caso de grandes tenedores a las personas jurídicas. </w:t>
            </w:r>
          </w:p>
          <w:p w14:paraId="13D78972" w14:textId="77777777" w:rsidR="00532D57" w:rsidRPr="000A0B9C" w:rsidRDefault="004538B9" w:rsidP="000A0B9C">
            <w:pPr>
              <w:spacing w:after="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La consecuencia literal es que quedarían afectadas las adquisiciones mortis causa por personas jurídicas, normalmente los llamados “legados solidarios” en favor de entidades benéficas.</w:t>
            </w:r>
          </w:p>
          <w:p w14:paraId="25D74C35" w14:textId="5CCA2888" w:rsidR="004538B9" w:rsidRPr="000A0B9C" w:rsidRDefault="00532D57" w:rsidP="000A0B9C">
            <w:pPr>
              <w:spacing w:after="6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Pero no hay que perder de vista que, incluso en otros supuestos de limitación a la transmisión</w:t>
            </w:r>
            <w:r w:rsidR="006F15A3">
              <w:rPr>
                <w:rFonts w:ascii="Times New Roman" w:eastAsia="Times New Roman" w:hAnsi="Times New Roman" w:cs="Times New Roman"/>
                <w:lang w:eastAsia="es-ES"/>
              </w:rPr>
              <w:t>,</w:t>
            </w:r>
            <w:r w:rsidRPr="000A0B9C">
              <w:rPr>
                <w:rFonts w:ascii="Times New Roman" w:eastAsia="Times New Roman" w:hAnsi="Times New Roman" w:cs="Times New Roman"/>
                <w:lang w:eastAsia="es-ES"/>
              </w:rPr>
              <w:t xml:space="preserve"> como ocurre con la vivienda protegida, siempre se exceptúan las adquisiciones mortis causa.</w:t>
            </w:r>
          </w:p>
        </w:tc>
      </w:tr>
      <w:tr w:rsidR="00C87A72" w:rsidRPr="000E48AA" w14:paraId="69D9BBF0" w14:textId="77777777" w:rsidTr="00C87A72">
        <w:trPr>
          <w:trHeight w:val="301"/>
          <w:jc w:val="center"/>
        </w:trPr>
        <w:tc>
          <w:tcPr>
            <w:tcW w:w="1678" w:type="dxa"/>
            <w:tcBorders>
              <w:top w:val="single" w:sz="12" w:space="0" w:color="auto"/>
              <w:left w:val="single" w:sz="18" w:space="0" w:color="auto"/>
              <w:right w:val="single" w:sz="12" w:space="0" w:color="auto"/>
            </w:tcBorders>
            <w:vAlign w:val="center"/>
          </w:tcPr>
          <w:p w14:paraId="5F66E6E3" w14:textId="1C87E4E2" w:rsidR="00C87A72" w:rsidRDefault="00721855" w:rsidP="004538B9">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División de comunidades</w:t>
            </w:r>
          </w:p>
        </w:tc>
        <w:tc>
          <w:tcPr>
            <w:tcW w:w="5810" w:type="dxa"/>
            <w:tcBorders>
              <w:top w:val="single" w:sz="12" w:space="0" w:color="auto"/>
              <w:left w:val="single" w:sz="12" w:space="0" w:color="auto"/>
              <w:bottom w:val="single" w:sz="4" w:space="0" w:color="auto"/>
              <w:right w:val="single" w:sz="18" w:space="0" w:color="auto"/>
            </w:tcBorders>
            <w:vAlign w:val="center"/>
          </w:tcPr>
          <w:p w14:paraId="09B46D82" w14:textId="3A064620" w:rsidR="00C87A72" w:rsidRPr="000A0B9C" w:rsidRDefault="00721855" w:rsidP="000A0B9C">
            <w:pPr>
              <w:spacing w:before="60" w:after="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La limitación del DL 29/2026 no afecta a los negocios divisorios de comunidades, en cuanto no suponen una nueva adquisición.</w:t>
            </w:r>
          </w:p>
        </w:tc>
      </w:tr>
      <w:tr w:rsidR="004538B9" w:rsidRPr="000E48AA" w14:paraId="58709340" w14:textId="77777777" w:rsidTr="00C87A72">
        <w:trPr>
          <w:trHeight w:val="426"/>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6196DB8A" w14:textId="77777777" w:rsidR="004538B9" w:rsidRDefault="004538B9" w:rsidP="004538B9">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Aportaciones sociales</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737130F8" w14:textId="77777777" w:rsidR="004538B9" w:rsidRPr="000A0B9C" w:rsidRDefault="004538B9" w:rsidP="000A0B9C">
            <w:pPr>
              <w:spacing w:before="60" w:after="2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¿Se incluyen las aportaciones sociales? El derogado DL 26/2026 hablaba de “</w:t>
            </w:r>
            <w:r w:rsidRPr="000A0B9C">
              <w:rPr>
                <w:rFonts w:ascii="Times New Roman" w:eastAsia="Times New Roman" w:hAnsi="Times New Roman" w:cs="Times New Roman"/>
                <w:i/>
                <w:iCs/>
                <w:lang w:eastAsia="es-ES"/>
              </w:rPr>
              <w:t>precio</w:t>
            </w:r>
            <w:r w:rsidRPr="000A0B9C">
              <w:rPr>
                <w:rFonts w:ascii="Times New Roman" w:eastAsia="Times New Roman" w:hAnsi="Times New Roman" w:cs="Times New Roman"/>
                <w:lang w:eastAsia="es-ES"/>
              </w:rPr>
              <w:t>”, pero el DL 29/2026 habla de “</w:t>
            </w:r>
            <w:r w:rsidRPr="000A0B9C">
              <w:rPr>
                <w:rFonts w:ascii="Times New Roman" w:eastAsia="Times New Roman" w:hAnsi="Times New Roman" w:cs="Times New Roman"/>
                <w:i/>
                <w:iCs/>
                <w:lang w:eastAsia="es-ES"/>
              </w:rPr>
              <w:t>valor de contraprestación</w:t>
            </w:r>
            <w:r w:rsidRPr="000A0B9C">
              <w:rPr>
                <w:rFonts w:ascii="Times New Roman" w:eastAsia="Times New Roman" w:hAnsi="Times New Roman" w:cs="Times New Roman"/>
                <w:lang w:eastAsia="es-ES"/>
              </w:rPr>
              <w:t>” [quizás para poder determinar a continuación que se incluye en la contraprestación no solo las cantidades recibidas sino otras ventajas], aunque al final vuelve a hablar de “</w:t>
            </w:r>
            <w:r w:rsidRPr="000A0B9C">
              <w:rPr>
                <w:rFonts w:ascii="Times New Roman" w:eastAsia="Times New Roman" w:hAnsi="Times New Roman" w:cs="Times New Roman"/>
                <w:i/>
                <w:iCs/>
                <w:lang w:eastAsia="es-ES"/>
              </w:rPr>
              <w:t>compraventa</w:t>
            </w:r>
            <w:r w:rsidRPr="000A0B9C">
              <w:rPr>
                <w:rFonts w:ascii="Times New Roman" w:eastAsia="Times New Roman" w:hAnsi="Times New Roman" w:cs="Times New Roman"/>
                <w:lang w:eastAsia="es-ES"/>
              </w:rPr>
              <w:t xml:space="preserve">”. </w:t>
            </w:r>
          </w:p>
        </w:tc>
      </w:tr>
      <w:tr w:rsidR="004538B9" w:rsidRPr="000E48AA" w14:paraId="7DD095E9" w14:textId="77777777" w:rsidTr="00C87A72">
        <w:trPr>
          <w:trHeight w:val="425"/>
          <w:jc w:val="center"/>
        </w:trPr>
        <w:tc>
          <w:tcPr>
            <w:tcW w:w="1678" w:type="dxa"/>
            <w:vMerge/>
            <w:tcBorders>
              <w:left w:val="single" w:sz="18" w:space="0" w:color="auto"/>
              <w:bottom w:val="single" w:sz="12" w:space="0" w:color="auto"/>
              <w:right w:val="single" w:sz="12" w:space="0" w:color="auto"/>
            </w:tcBorders>
            <w:shd w:val="clear" w:color="auto" w:fill="E7E6E6" w:themeFill="background2"/>
            <w:vAlign w:val="center"/>
          </w:tcPr>
          <w:p w14:paraId="71CDF383" w14:textId="77777777" w:rsidR="004538B9" w:rsidRDefault="004538B9" w:rsidP="004538B9">
            <w:pPr>
              <w:spacing w:before="60" w:after="60" w:line="200" w:lineRule="exact"/>
              <w:jc w:val="center"/>
              <w:rPr>
                <w:rFonts w:ascii="Times New Roman" w:eastAsia="Times New Roman" w:hAnsi="Times New Roman" w:cs="Times New Roman"/>
                <w:b/>
                <w:lang w:eastAsia="es-ES"/>
              </w:rPr>
            </w:pPr>
          </w:p>
        </w:tc>
        <w:tc>
          <w:tcPr>
            <w:tcW w:w="5810" w:type="dxa"/>
            <w:tcBorders>
              <w:top w:val="single" w:sz="4" w:space="0" w:color="auto"/>
              <w:left w:val="single" w:sz="12" w:space="0" w:color="auto"/>
              <w:bottom w:val="single" w:sz="12" w:space="0" w:color="auto"/>
              <w:right w:val="single" w:sz="18" w:space="0" w:color="auto"/>
            </w:tcBorders>
            <w:shd w:val="clear" w:color="auto" w:fill="E7E6E6" w:themeFill="background2"/>
            <w:vAlign w:val="center"/>
          </w:tcPr>
          <w:p w14:paraId="0503CCB3" w14:textId="08952CAC" w:rsidR="004538B9" w:rsidRPr="000A0B9C" w:rsidRDefault="004538B9" w:rsidP="000A0B9C">
            <w:pPr>
              <w:spacing w:before="20" w:after="6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Parece que deba admitirse la aportación por el socio único a su sociedad unipersonal</w:t>
            </w:r>
            <w:r w:rsidR="005A3E3F" w:rsidRPr="000A0B9C">
              <w:rPr>
                <w:rFonts w:ascii="Times New Roman" w:eastAsia="Times New Roman" w:hAnsi="Times New Roman" w:cs="Times New Roman"/>
                <w:lang w:eastAsia="es-ES"/>
              </w:rPr>
              <w:t xml:space="preserve"> y, en general, todas aquellas en que haya identidad entre transmitentes y socios (por ejemplo, un matrimonio).</w:t>
            </w:r>
          </w:p>
        </w:tc>
      </w:tr>
      <w:tr w:rsidR="004538B9" w:rsidRPr="000E48AA" w14:paraId="1C794DCC" w14:textId="77777777" w:rsidTr="00C87A72">
        <w:trPr>
          <w:trHeight w:val="425"/>
          <w:jc w:val="center"/>
        </w:trPr>
        <w:tc>
          <w:tcPr>
            <w:tcW w:w="1678" w:type="dxa"/>
            <w:tcBorders>
              <w:top w:val="single" w:sz="12" w:space="0" w:color="auto"/>
              <w:left w:val="single" w:sz="18" w:space="0" w:color="auto"/>
              <w:right w:val="single" w:sz="12" w:space="0" w:color="auto"/>
            </w:tcBorders>
            <w:vAlign w:val="center"/>
          </w:tcPr>
          <w:p w14:paraId="46141643" w14:textId="77777777" w:rsidR="004538B9" w:rsidRDefault="004538B9" w:rsidP="004538B9">
            <w:pPr>
              <w:spacing w:before="60" w:after="6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Permutas</w:t>
            </w:r>
          </w:p>
        </w:tc>
        <w:tc>
          <w:tcPr>
            <w:tcW w:w="5810" w:type="dxa"/>
            <w:tcBorders>
              <w:top w:val="single" w:sz="12" w:space="0" w:color="auto"/>
              <w:left w:val="single" w:sz="12" w:space="0" w:color="auto"/>
              <w:bottom w:val="single" w:sz="4" w:space="0" w:color="auto"/>
              <w:right w:val="single" w:sz="18" w:space="0" w:color="auto"/>
            </w:tcBorders>
            <w:vAlign w:val="center"/>
          </w:tcPr>
          <w:p w14:paraId="0BA6E3AE" w14:textId="12A5321F" w:rsidR="004538B9" w:rsidRPr="000A0B9C" w:rsidRDefault="004538B9" w:rsidP="000A0B9C">
            <w:pPr>
              <w:spacing w:before="60" w:after="6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Por cuanto no contraviene la finalidad de la norma, parece que deba admitirse la permuta de vivienda por vivienda, aunque se trate de vivienda futura a construir.</w:t>
            </w:r>
          </w:p>
        </w:tc>
      </w:tr>
      <w:tr w:rsidR="004538B9" w:rsidRPr="000E48AA" w14:paraId="79E44BA1" w14:textId="77777777" w:rsidTr="00C87A72">
        <w:trPr>
          <w:trHeight w:val="451"/>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74AA5ECD" w14:textId="77777777" w:rsidR="004538B9" w:rsidRDefault="004538B9" w:rsidP="004538B9">
            <w:pPr>
              <w:spacing w:before="60" w:after="60" w:line="200" w:lineRule="exact"/>
              <w:jc w:val="center"/>
              <w:rPr>
                <w:rFonts w:ascii="Times New Roman" w:eastAsia="Times New Roman" w:hAnsi="Times New Roman" w:cs="Times New Roman"/>
                <w:b/>
                <w:lang w:eastAsia="es-ES"/>
              </w:rPr>
            </w:pPr>
            <w:r w:rsidRPr="000C554E">
              <w:rPr>
                <w:rFonts w:ascii="Times New Roman" w:eastAsia="Times New Roman" w:hAnsi="Times New Roman" w:cs="Times New Roman"/>
                <w:b/>
                <w:sz w:val="20"/>
                <w:szCs w:val="20"/>
                <w:lang w:eastAsia="es-ES"/>
              </w:rPr>
              <w:t>Transmisiones entre sociedades</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4703DA8E" w14:textId="77777777" w:rsidR="004538B9" w:rsidRPr="000A0B9C" w:rsidRDefault="004538B9" w:rsidP="000A0B9C">
            <w:pPr>
              <w:spacing w:before="60" w:after="2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¿Se incluyen en la limitación del DL 29/2026 las transmisiones entre sociedades? En contra, se trata de vivienda que no está en el mercado final. A favor, podría estarlo si no lo adquiriese una sociedad.</w:t>
            </w:r>
          </w:p>
        </w:tc>
      </w:tr>
      <w:tr w:rsidR="004538B9" w:rsidRPr="000E48AA" w14:paraId="20AC2F63" w14:textId="77777777" w:rsidTr="0058772D">
        <w:trPr>
          <w:trHeight w:val="234"/>
          <w:jc w:val="center"/>
        </w:trPr>
        <w:tc>
          <w:tcPr>
            <w:tcW w:w="1678" w:type="dxa"/>
            <w:vMerge/>
            <w:tcBorders>
              <w:left w:val="single" w:sz="18" w:space="0" w:color="auto"/>
              <w:right w:val="single" w:sz="12" w:space="0" w:color="auto"/>
            </w:tcBorders>
            <w:shd w:val="clear" w:color="auto" w:fill="E7E6E6" w:themeFill="background2"/>
            <w:vAlign w:val="center"/>
          </w:tcPr>
          <w:p w14:paraId="46365BB8" w14:textId="77777777" w:rsidR="004538B9" w:rsidRPr="000C554E" w:rsidRDefault="004538B9" w:rsidP="004538B9">
            <w:pPr>
              <w:spacing w:before="60" w:after="60" w:line="20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bottom w:val="single" w:sz="4" w:space="0" w:color="auto"/>
              <w:right w:val="single" w:sz="18" w:space="0" w:color="auto"/>
            </w:tcBorders>
            <w:shd w:val="clear" w:color="auto" w:fill="E7E6E6" w:themeFill="background2"/>
            <w:vAlign w:val="center"/>
          </w:tcPr>
          <w:p w14:paraId="2E6981FA" w14:textId="622FFF5B" w:rsidR="004538B9" w:rsidRPr="000A0B9C" w:rsidRDefault="004538B9" w:rsidP="000A0B9C">
            <w:pPr>
              <w:spacing w:before="40" w:after="60" w:line="200" w:lineRule="exact"/>
              <w:jc w:val="both"/>
              <w:rPr>
                <w:rFonts w:ascii="Times New Roman" w:eastAsia="Times New Roman" w:hAnsi="Times New Roman" w:cs="Times New Roman"/>
                <w:lang w:eastAsia="es-ES"/>
              </w:rPr>
            </w:pPr>
            <w:r w:rsidRPr="000A0B9C">
              <w:rPr>
                <w:rFonts w:ascii="Times New Roman" w:eastAsia="Times New Roman" w:hAnsi="Times New Roman" w:cs="Times New Roman"/>
                <w:lang w:eastAsia="es-ES"/>
              </w:rPr>
              <w:t>No obstante, parece que deben excluirse las operaciones dentro del mismo grupo desde el momento en que se l</w:t>
            </w:r>
            <w:r w:rsidR="005A3E3F" w:rsidRPr="000A0B9C">
              <w:rPr>
                <w:rFonts w:ascii="Times New Roman" w:eastAsia="Times New Roman" w:hAnsi="Times New Roman" w:cs="Times New Roman"/>
                <w:lang w:eastAsia="es-ES"/>
              </w:rPr>
              <w:t>o</w:t>
            </w:r>
            <w:r w:rsidRPr="000A0B9C">
              <w:rPr>
                <w:rFonts w:ascii="Times New Roman" w:eastAsia="Times New Roman" w:hAnsi="Times New Roman" w:cs="Times New Roman"/>
                <w:lang w:eastAsia="es-ES"/>
              </w:rPr>
              <w:t>s toma en consideración para limitarlas.</w:t>
            </w:r>
          </w:p>
        </w:tc>
      </w:tr>
      <w:tr w:rsidR="0058772D" w:rsidRPr="000E48AA" w14:paraId="4F99F9FB" w14:textId="77777777" w:rsidTr="0058772D">
        <w:trPr>
          <w:trHeight w:val="234"/>
          <w:jc w:val="center"/>
        </w:trPr>
        <w:tc>
          <w:tcPr>
            <w:tcW w:w="1678" w:type="dxa"/>
            <w:tcBorders>
              <w:left w:val="single" w:sz="18" w:space="0" w:color="auto"/>
              <w:bottom w:val="single" w:sz="12" w:space="0" w:color="auto"/>
              <w:right w:val="single" w:sz="12" w:space="0" w:color="auto"/>
            </w:tcBorders>
            <w:shd w:val="clear" w:color="auto" w:fill="FFFFFF" w:themeFill="background1"/>
            <w:vAlign w:val="center"/>
          </w:tcPr>
          <w:p w14:paraId="1805AD10" w14:textId="15994AEA" w:rsidR="0058772D" w:rsidRPr="000C554E" w:rsidRDefault="0058772D" w:rsidP="004538B9">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Fusiones, escisiones y cesiones globales</w:t>
            </w:r>
          </w:p>
        </w:tc>
        <w:tc>
          <w:tcPr>
            <w:tcW w:w="5810" w:type="dxa"/>
            <w:tcBorders>
              <w:top w:val="single" w:sz="4" w:space="0" w:color="auto"/>
              <w:left w:val="single" w:sz="12" w:space="0" w:color="auto"/>
              <w:bottom w:val="single" w:sz="12" w:space="0" w:color="auto"/>
              <w:right w:val="single" w:sz="18" w:space="0" w:color="auto"/>
            </w:tcBorders>
            <w:shd w:val="clear" w:color="auto" w:fill="FFFFFF" w:themeFill="background1"/>
            <w:vAlign w:val="center"/>
          </w:tcPr>
          <w:p w14:paraId="2CCD0087" w14:textId="4CB3DD4F" w:rsidR="0058772D" w:rsidRPr="000A0B9C" w:rsidRDefault="0058772D" w:rsidP="000A0B9C">
            <w:pPr>
              <w:spacing w:before="40" w:after="60" w:line="200" w:lineRule="exact"/>
              <w:jc w:val="both"/>
              <w:rPr>
                <w:rFonts w:ascii="Times New Roman" w:eastAsia="Times New Roman" w:hAnsi="Times New Roman" w:cs="Times New Roman"/>
                <w:lang w:eastAsia="es-ES"/>
              </w:rPr>
            </w:pPr>
            <w:r>
              <w:rPr>
                <w:rFonts w:ascii="Times New Roman" w:eastAsia="Times New Roman" w:hAnsi="Times New Roman" w:cs="Times New Roman"/>
                <w:lang w:eastAsia="es-ES"/>
              </w:rPr>
              <w:t>Si engloban una vivienda, plantean la misma problemática que la transmisión entre sociedades</w:t>
            </w:r>
          </w:p>
        </w:tc>
      </w:tr>
    </w:tbl>
    <w:p w14:paraId="4D8A4E57" w14:textId="417A16CD" w:rsidR="006D5995" w:rsidRDefault="006D5995" w:rsidP="00FA04B7"/>
    <w:p w14:paraId="03C9987C" w14:textId="77777777" w:rsidR="006D5995" w:rsidRDefault="006D5995">
      <w:r>
        <w:br w:type="page"/>
      </w:r>
    </w:p>
    <w:bookmarkEnd w:id="7"/>
    <w:p w14:paraId="1D6F998C" w14:textId="77777777" w:rsidR="006D5995" w:rsidRDefault="006D5995" w:rsidP="006D5995"/>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78"/>
        <w:gridCol w:w="5810"/>
      </w:tblGrid>
      <w:tr w:rsidR="006D5995" w:rsidRPr="000E48AA" w14:paraId="21C5FD7D" w14:textId="77777777" w:rsidTr="00EA4E4C">
        <w:trPr>
          <w:trHeight w:val="232"/>
          <w:jc w:val="center"/>
        </w:trPr>
        <w:tc>
          <w:tcPr>
            <w:tcW w:w="7488" w:type="dxa"/>
            <w:gridSpan w:val="2"/>
            <w:tcBorders>
              <w:top w:val="single" w:sz="12" w:space="0" w:color="auto"/>
              <w:left w:val="single" w:sz="18" w:space="0" w:color="auto"/>
              <w:bottom w:val="single" w:sz="6" w:space="0" w:color="auto"/>
              <w:right w:val="single" w:sz="18" w:space="0" w:color="auto"/>
            </w:tcBorders>
            <w:shd w:val="clear" w:color="auto" w:fill="CCCCCC"/>
          </w:tcPr>
          <w:p w14:paraId="5D625E3C" w14:textId="40F3484D" w:rsidR="006D5995" w:rsidRPr="000A0B9C" w:rsidRDefault="0000510F" w:rsidP="00EA4E4C">
            <w:pPr>
              <w:spacing w:before="60" w:after="60" w:line="240" w:lineRule="exact"/>
              <w:jc w:val="center"/>
              <w:rPr>
                <w:rFonts w:ascii="Times New Roman" w:eastAsia="Times New Roman" w:hAnsi="Times New Roman" w:cs="Times New Roman"/>
                <w:b/>
                <w:color w:val="000000"/>
                <w:lang w:eastAsia="es-ES"/>
              </w:rPr>
            </w:pPr>
            <w:r>
              <w:rPr>
                <w:rFonts w:ascii="Times New Roman" w:eastAsia="Times New Roman" w:hAnsi="Times New Roman" w:cs="Times New Roman"/>
                <w:b/>
                <w:color w:val="000000"/>
                <w:lang w:eastAsia="es-ES"/>
              </w:rPr>
              <w:t>6</w:t>
            </w:r>
            <w:r w:rsidR="006D5995" w:rsidRPr="000A0B9C">
              <w:rPr>
                <w:rFonts w:ascii="Times New Roman" w:eastAsia="Times New Roman" w:hAnsi="Times New Roman" w:cs="Times New Roman"/>
                <w:b/>
                <w:color w:val="000000"/>
                <w:lang w:eastAsia="es-ES"/>
              </w:rPr>
              <w:t xml:space="preserve">. </w:t>
            </w:r>
            <w:hyperlink r:id="rId24" w:history="1">
              <w:r w:rsidR="006D5995" w:rsidRPr="000A0B9C">
                <w:rPr>
                  <w:rStyle w:val="Hipervnculo"/>
                  <w:rFonts w:ascii="Times New Roman" w:eastAsia="Times New Roman" w:hAnsi="Times New Roman" w:cs="Times New Roman"/>
                  <w:b/>
                  <w:lang w:eastAsia="es-ES"/>
                </w:rPr>
                <w:t>ARTÍCULO 1 DL 29/2026</w:t>
              </w:r>
            </w:hyperlink>
            <w:r w:rsidR="006D5995" w:rsidRPr="000A0B9C">
              <w:rPr>
                <w:rFonts w:ascii="Times New Roman" w:eastAsia="Times New Roman" w:hAnsi="Times New Roman" w:cs="Times New Roman"/>
                <w:b/>
                <w:color w:val="000000"/>
                <w:lang w:eastAsia="es-ES"/>
              </w:rPr>
              <w:t xml:space="preserve">. </w:t>
            </w:r>
            <w:bookmarkStart w:id="9" w:name="OBJETOS"/>
            <w:bookmarkEnd w:id="9"/>
            <w:r w:rsidR="000A0B9C" w:rsidRPr="000A0B9C">
              <w:rPr>
                <w:rFonts w:ascii="Times New Roman" w:eastAsia="Times New Roman" w:hAnsi="Times New Roman" w:cs="Times New Roman"/>
                <w:b/>
                <w:color w:val="000000"/>
                <w:lang w:eastAsia="es-ES"/>
              </w:rPr>
              <w:t xml:space="preserve">OBJETOS Y MOMENTOS </w:t>
            </w:r>
            <w:r w:rsidR="006D5995" w:rsidRPr="000A0B9C">
              <w:rPr>
                <w:rFonts w:ascii="Times New Roman" w:eastAsia="Times New Roman" w:hAnsi="Times New Roman" w:cs="Times New Roman"/>
                <w:b/>
                <w:color w:val="000000"/>
                <w:lang w:eastAsia="es-ES"/>
              </w:rPr>
              <w:t>DISCUTIDOS</w:t>
            </w:r>
          </w:p>
        </w:tc>
      </w:tr>
      <w:tr w:rsidR="006D5995" w:rsidRPr="000E48AA" w14:paraId="5FF6F242" w14:textId="77777777" w:rsidTr="00955AFC">
        <w:trPr>
          <w:trHeight w:val="320"/>
          <w:jc w:val="center"/>
        </w:trPr>
        <w:tc>
          <w:tcPr>
            <w:tcW w:w="1678" w:type="dxa"/>
            <w:vMerge w:val="restart"/>
            <w:tcBorders>
              <w:top w:val="single" w:sz="12" w:space="0" w:color="auto"/>
              <w:left w:val="single" w:sz="18" w:space="0" w:color="auto"/>
              <w:right w:val="single" w:sz="12" w:space="0" w:color="auto"/>
            </w:tcBorders>
            <w:vAlign w:val="center"/>
          </w:tcPr>
          <w:p w14:paraId="232A6B23" w14:textId="77777777" w:rsidR="006D5995" w:rsidRPr="00B61522" w:rsidRDefault="006D5995" w:rsidP="00EA4E4C">
            <w:pPr>
              <w:spacing w:before="60" w:after="60" w:line="20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N</w:t>
            </w:r>
            <w:r w:rsidRPr="00B61522">
              <w:rPr>
                <w:rFonts w:ascii="Times New Roman" w:eastAsia="Times New Roman" w:hAnsi="Times New Roman" w:cs="Times New Roman"/>
                <w:b/>
                <w:sz w:val="20"/>
                <w:szCs w:val="20"/>
                <w:lang w:eastAsia="es-ES"/>
              </w:rPr>
              <w:t>uda propiedad</w:t>
            </w:r>
            <w:r>
              <w:rPr>
                <w:rFonts w:ascii="Times New Roman" w:eastAsia="Times New Roman" w:hAnsi="Times New Roman" w:cs="Times New Roman"/>
                <w:b/>
                <w:sz w:val="20"/>
                <w:szCs w:val="20"/>
                <w:lang w:eastAsia="es-ES"/>
              </w:rPr>
              <w:t xml:space="preserve"> y usufructo</w:t>
            </w:r>
          </w:p>
        </w:tc>
        <w:tc>
          <w:tcPr>
            <w:tcW w:w="5810" w:type="dxa"/>
            <w:tcBorders>
              <w:top w:val="single" w:sz="12" w:space="0" w:color="auto"/>
              <w:left w:val="single" w:sz="12" w:space="0" w:color="auto"/>
              <w:bottom w:val="single" w:sz="4" w:space="0" w:color="auto"/>
              <w:right w:val="single" w:sz="18" w:space="0" w:color="auto"/>
            </w:tcBorders>
            <w:vAlign w:val="center"/>
          </w:tcPr>
          <w:p w14:paraId="2D5CE62C" w14:textId="77777777" w:rsidR="006D5995" w:rsidRPr="00955AFC" w:rsidRDefault="006D5995" w:rsidP="00955AFC">
            <w:pPr>
              <w:spacing w:before="60" w:after="2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¿La limitación del DL 29/2026 alcanza a la sola adquisición de la nuda propiedad? Entiendo que no mientras el usufructo se configure como vitalicio y, además, con una duración mínima [transmisible a los herederos del usufructuario] igual a la de la limitación, es decir, hasta el 31/12/2030.</w:t>
            </w:r>
          </w:p>
        </w:tc>
      </w:tr>
      <w:tr w:rsidR="006D5995" w:rsidRPr="000E48AA" w14:paraId="17D15E06" w14:textId="77777777" w:rsidTr="00955AFC">
        <w:trPr>
          <w:trHeight w:val="319"/>
          <w:jc w:val="center"/>
        </w:trPr>
        <w:tc>
          <w:tcPr>
            <w:tcW w:w="1678" w:type="dxa"/>
            <w:vMerge/>
            <w:tcBorders>
              <w:left w:val="single" w:sz="18" w:space="0" w:color="auto"/>
              <w:right w:val="single" w:sz="12" w:space="0" w:color="auto"/>
            </w:tcBorders>
            <w:vAlign w:val="center"/>
          </w:tcPr>
          <w:p w14:paraId="1FB8CABC" w14:textId="77777777" w:rsidR="006D5995" w:rsidRPr="00B61522" w:rsidRDefault="006D5995" w:rsidP="00EA4E4C">
            <w:pPr>
              <w:spacing w:before="60" w:after="60" w:line="20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bottom w:val="single" w:sz="4" w:space="0" w:color="auto"/>
              <w:right w:val="single" w:sz="18" w:space="0" w:color="auto"/>
            </w:tcBorders>
            <w:vAlign w:val="center"/>
          </w:tcPr>
          <w:p w14:paraId="0F465256" w14:textId="77777777" w:rsidR="006D5995" w:rsidRPr="00955AFC" w:rsidRDefault="006D5995" w:rsidP="00955AFC">
            <w:pPr>
              <w:spacing w:before="40" w:after="6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La limitación del DL 29/2026 debe alcanzar a la adquisición del usufructo, toda vez que priva al transmitente del disfrute de la vivienda.</w:t>
            </w:r>
          </w:p>
        </w:tc>
      </w:tr>
      <w:tr w:rsidR="006D5995" w:rsidRPr="000E48AA" w14:paraId="41C097E5" w14:textId="77777777" w:rsidTr="00955AFC">
        <w:trPr>
          <w:trHeight w:val="201"/>
          <w:jc w:val="center"/>
        </w:trPr>
        <w:tc>
          <w:tcPr>
            <w:tcW w:w="1678" w:type="dxa"/>
            <w:vMerge w:val="restart"/>
            <w:tcBorders>
              <w:top w:val="single" w:sz="12" w:space="0" w:color="auto"/>
              <w:left w:val="single" w:sz="18" w:space="0" w:color="auto"/>
              <w:right w:val="single" w:sz="12" w:space="0" w:color="auto"/>
            </w:tcBorders>
            <w:shd w:val="clear" w:color="auto" w:fill="E7E6E6" w:themeFill="background2"/>
            <w:vAlign w:val="center"/>
          </w:tcPr>
          <w:p w14:paraId="5610C92C" w14:textId="77777777" w:rsidR="006D5995" w:rsidRPr="00ED6718" w:rsidRDefault="006D5995" w:rsidP="00EA4E4C">
            <w:pPr>
              <w:spacing w:before="60" w:after="60" w:line="180" w:lineRule="exact"/>
              <w:jc w:val="center"/>
              <w:rPr>
                <w:rFonts w:ascii="Times New Roman" w:eastAsia="Times New Roman" w:hAnsi="Times New Roman" w:cs="Times New Roman"/>
                <w:b/>
                <w:sz w:val="20"/>
                <w:szCs w:val="20"/>
                <w:lang w:eastAsia="es-ES"/>
              </w:rPr>
            </w:pPr>
            <w:r>
              <w:rPr>
                <w:rFonts w:ascii="Times New Roman" w:eastAsia="Times New Roman" w:hAnsi="Times New Roman" w:cs="Times New Roman"/>
                <w:b/>
                <w:sz w:val="20"/>
                <w:szCs w:val="20"/>
                <w:lang w:eastAsia="es-ES"/>
              </w:rPr>
              <w:t>Participaciones indivisas</w:t>
            </w:r>
          </w:p>
        </w:tc>
        <w:tc>
          <w:tcPr>
            <w:tcW w:w="5810" w:type="dxa"/>
            <w:tcBorders>
              <w:top w:val="single" w:sz="12" w:space="0" w:color="auto"/>
              <w:left w:val="single" w:sz="12" w:space="0" w:color="auto"/>
              <w:bottom w:val="single" w:sz="4" w:space="0" w:color="auto"/>
              <w:right w:val="single" w:sz="18" w:space="0" w:color="auto"/>
            </w:tcBorders>
            <w:shd w:val="clear" w:color="auto" w:fill="E7E6E6" w:themeFill="background2"/>
            <w:vAlign w:val="center"/>
          </w:tcPr>
          <w:p w14:paraId="5D027147" w14:textId="77777777" w:rsidR="006D5995" w:rsidRPr="00955AFC" w:rsidRDefault="006D5995" w:rsidP="00955AFC">
            <w:pPr>
              <w:spacing w:before="60" w:after="2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Si es el titular total de la vivienda quien transmite una participación, entiendo que la limitación afecta igualmente a la operación.</w:t>
            </w:r>
          </w:p>
        </w:tc>
      </w:tr>
      <w:tr w:rsidR="006D5995" w:rsidRPr="000E48AA" w14:paraId="2E87F4A8" w14:textId="77777777" w:rsidTr="00955AFC">
        <w:trPr>
          <w:trHeight w:val="200"/>
          <w:jc w:val="center"/>
        </w:trPr>
        <w:tc>
          <w:tcPr>
            <w:tcW w:w="1678" w:type="dxa"/>
            <w:vMerge/>
            <w:tcBorders>
              <w:left w:val="single" w:sz="18" w:space="0" w:color="auto"/>
              <w:bottom w:val="single" w:sz="12" w:space="0" w:color="auto"/>
              <w:right w:val="single" w:sz="12" w:space="0" w:color="auto"/>
            </w:tcBorders>
            <w:shd w:val="clear" w:color="auto" w:fill="E7E6E6" w:themeFill="background2"/>
            <w:vAlign w:val="center"/>
          </w:tcPr>
          <w:p w14:paraId="149003A3" w14:textId="77777777" w:rsidR="006D5995" w:rsidRDefault="006D5995" w:rsidP="00EA4E4C">
            <w:pPr>
              <w:spacing w:before="60" w:after="60" w:line="180" w:lineRule="exact"/>
              <w:jc w:val="center"/>
              <w:rPr>
                <w:rFonts w:ascii="Times New Roman" w:eastAsia="Times New Roman" w:hAnsi="Times New Roman" w:cs="Times New Roman"/>
                <w:b/>
                <w:sz w:val="20"/>
                <w:szCs w:val="20"/>
                <w:lang w:eastAsia="es-ES"/>
              </w:rPr>
            </w:pPr>
          </w:p>
        </w:tc>
        <w:tc>
          <w:tcPr>
            <w:tcW w:w="5810" w:type="dxa"/>
            <w:tcBorders>
              <w:top w:val="single" w:sz="4" w:space="0" w:color="auto"/>
              <w:left w:val="single" w:sz="12" w:space="0" w:color="auto"/>
              <w:bottom w:val="single" w:sz="12" w:space="0" w:color="auto"/>
              <w:right w:val="single" w:sz="18" w:space="0" w:color="auto"/>
            </w:tcBorders>
            <w:shd w:val="clear" w:color="auto" w:fill="E7E6E6" w:themeFill="background2"/>
            <w:vAlign w:val="center"/>
          </w:tcPr>
          <w:p w14:paraId="73E836B7" w14:textId="77777777" w:rsidR="006D5995" w:rsidRPr="00955AFC" w:rsidRDefault="006D5995" w:rsidP="00955AFC">
            <w:pPr>
              <w:spacing w:before="20" w:after="6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Si es el titular parcial de la vivienda quien transmite su participación, entiendo que la limitación no afecta a la operación, sin perjuicio del derecho retracto de los demás cotitulares.</w:t>
            </w:r>
          </w:p>
        </w:tc>
      </w:tr>
      <w:tr w:rsidR="006D5995" w:rsidRPr="000E48AA" w14:paraId="2E0D774C" w14:textId="77777777" w:rsidTr="00955AFC">
        <w:trPr>
          <w:trHeight w:val="301"/>
          <w:jc w:val="center"/>
        </w:trPr>
        <w:tc>
          <w:tcPr>
            <w:tcW w:w="1678" w:type="dxa"/>
            <w:tcBorders>
              <w:top w:val="single" w:sz="12" w:space="0" w:color="auto"/>
              <w:left w:val="single" w:sz="18" w:space="0" w:color="auto"/>
              <w:bottom w:val="single" w:sz="12" w:space="0" w:color="auto"/>
              <w:right w:val="single" w:sz="12" w:space="0" w:color="auto"/>
            </w:tcBorders>
            <w:shd w:val="clear" w:color="auto" w:fill="FFFFFF" w:themeFill="background1"/>
            <w:vAlign w:val="center"/>
          </w:tcPr>
          <w:p w14:paraId="30C19358" w14:textId="77777777" w:rsidR="006D5995" w:rsidRPr="00ED6718" w:rsidRDefault="006D5995" w:rsidP="00EA4E4C">
            <w:pPr>
              <w:spacing w:before="60" w:after="60" w:line="180" w:lineRule="exact"/>
              <w:jc w:val="center"/>
              <w:rPr>
                <w:rFonts w:ascii="Times New Roman" w:eastAsia="Times New Roman" w:hAnsi="Times New Roman" w:cs="Times New Roman"/>
                <w:b/>
                <w:sz w:val="20"/>
                <w:szCs w:val="20"/>
                <w:lang w:eastAsia="es-ES"/>
              </w:rPr>
            </w:pPr>
            <w:r w:rsidRPr="00ED6718">
              <w:rPr>
                <w:rFonts w:ascii="Times New Roman" w:eastAsia="Times New Roman" w:hAnsi="Times New Roman" w:cs="Times New Roman"/>
                <w:b/>
                <w:sz w:val="20"/>
                <w:szCs w:val="20"/>
                <w:lang w:eastAsia="es-ES"/>
              </w:rPr>
              <w:t>Documentos privados con fecha fehaciente</w:t>
            </w:r>
          </w:p>
        </w:tc>
        <w:tc>
          <w:tcPr>
            <w:tcW w:w="5810" w:type="dxa"/>
            <w:tcBorders>
              <w:top w:val="single" w:sz="12" w:space="0" w:color="auto"/>
              <w:left w:val="single" w:sz="12" w:space="0" w:color="auto"/>
              <w:bottom w:val="single" w:sz="12" w:space="0" w:color="auto"/>
              <w:right w:val="single" w:sz="18" w:space="0" w:color="auto"/>
            </w:tcBorders>
            <w:shd w:val="clear" w:color="auto" w:fill="FFFFFF" w:themeFill="background1"/>
            <w:vAlign w:val="center"/>
          </w:tcPr>
          <w:p w14:paraId="0D3E674C" w14:textId="77777777" w:rsidR="006D5995" w:rsidRPr="00955AFC" w:rsidRDefault="006D5995" w:rsidP="00955AFC">
            <w:pPr>
              <w:spacing w:before="60" w:after="6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¿Pueden elevarse a escritura pública los contratos anteriores a la entrada en vigor del DL 29/2026 con fecha fehaciente? Parece que únicamente si el documento privado reúne los requisitos del art. 1227 del Código Civil.</w:t>
            </w:r>
          </w:p>
        </w:tc>
      </w:tr>
      <w:tr w:rsidR="006D5995" w:rsidRPr="000E48AA" w14:paraId="4BF93786" w14:textId="77777777" w:rsidTr="00955AFC">
        <w:trPr>
          <w:trHeight w:val="301"/>
          <w:jc w:val="center"/>
        </w:trPr>
        <w:tc>
          <w:tcPr>
            <w:tcW w:w="1678"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55A66A49" w14:textId="77777777" w:rsidR="006D5995" w:rsidRDefault="006D5995" w:rsidP="00EA4E4C">
            <w:pPr>
              <w:spacing w:before="60" w:after="0" w:line="200" w:lineRule="exact"/>
              <w:jc w:val="center"/>
              <w:rPr>
                <w:rFonts w:ascii="Times New Roman" w:eastAsia="Times New Roman" w:hAnsi="Times New Roman" w:cs="Times New Roman"/>
                <w:b/>
                <w:lang w:eastAsia="es-ES"/>
              </w:rPr>
            </w:pPr>
            <w:r w:rsidRPr="00DF5430">
              <w:rPr>
                <w:rFonts w:ascii="Times New Roman" w:eastAsia="Times New Roman" w:hAnsi="Times New Roman" w:cs="Times New Roman"/>
                <w:b/>
                <w:lang w:eastAsia="es-ES"/>
              </w:rPr>
              <w:t>Precontratos</w:t>
            </w:r>
          </w:p>
          <w:p w14:paraId="6C485DE4" w14:textId="77777777" w:rsidR="006D5995" w:rsidRPr="00DF5430" w:rsidRDefault="006D5995" w:rsidP="00EA4E4C">
            <w:pPr>
              <w:spacing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y opciones</w:t>
            </w:r>
          </w:p>
        </w:tc>
        <w:tc>
          <w:tcPr>
            <w:tcW w:w="5810"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2F46D8D5" w14:textId="77777777" w:rsidR="006D5995" w:rsidRPr="00955AFC" w:rsidRDefault="006D5995" w:rsidP="00955AFC">
            <w:pPr>
              <w:spacing w:before="60" w:after="6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¿Afecta  la limitación temporal del DL 29/2026 a los precontratos meramente obligacionales y opciones de compra que hayan de hacerse efectivos después del 31/12/2030? Sin perjuicio de sus consecuencias fiscales, entiendo que no, siempre que su desistimiento por venta a un tercero no implique penalización para el transmitente.</w:t>
            </w:r>
          </w:p>
        </w:tc>
      </w:tr>
      <w:tr w:rsidR="006D5995" w:rsidRPr="000E48AA" w14:paraId="245F5E49" w14:textId="77777777" w:rsidTr="00955AFC">
        <w:trPr>
          <w:trHeight w:val="301"/>
          <w:jc w:val="center"/>
        </w:trPr>
        <w:tc>
          <w:tcPr>
            <w:tcW w:w="1678" w:type="dxa"/>
            <w:tcBorders>
              <w:top w:val="single" w:sz="12" w:space="0" w:color="auto"/>
              <w:left w:val="single" w:sz="18" w:space="0" w:color="auto"/>
              <w:bottom w:val="single" w:sz="12" w:space="0" w:color="auto"/>
              <w:right w:val="single" w:sz="12" w:space="0" w:color="auto"/>
            </w:tcBorders>
            <w:shd w:val="clear" w:color="auto" w:fill="FFFFFF" w:themeFill="background1"/>
            <w:vAlign w:val="center"/>
          </w:tcPr>
          <w:p w14:paraId="32D3E8D8" w14:textId="77777777" w:rsidR="006D5995" w:rsidRPr="00DF5430" w:rsidRDefault="006D5995" w:rsidP="00EA4E4C">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Ejecuciones</w:t>
            </w:r>
          </w:p>
        </w:tc>
        <w:tc>
          <w:tcPr>
            <w:tcW w:w="5810" w:type="dxa"/>
            <w:tcBorders>
              <w:top w:val="single" w:sz="12" w:space="0" w:color="auto"/>
              <w:left w:val="single" w:sz="12" w:space="0" w:color="auto"/>
              <w:bottom w:val="single" w:sz="12" w:space="0" w:color="auto"/>
              <w:right w:val="single" w:sz="18" w:space="0" w:color="auto"/>
            </w:tcBorders>
            <w:shd w:val="clear" w:color="auto" w:fill="FFFFFF" w:themeFill="background1"/>
            <w:vAlign w:val="center"/>
          </w:tcPr>
          <w:p w14:paraId="06988628" w14:textId="3FE2F691" w:rsidR="006D5995" w:rsidRPr="00955AFC" w:rsidRDefault="006D5995" w:rsidP="00955AFC">
            <w:pPr>
              <w:spacing w:before="60" w:after="60" w:line="200" w:lineRule="exact"/>
              <w:jc w:val="both"/>
              <w:rPr>
                <w:rFonts w:ascii="Times New Roman" w:eastAsia="Times New Roman" w:hAnsi="Times New Roman" w:cs="Times New Roman"/>
                <w:lang w:eastAsia="es-ES"/>
              </w:rPr>
            </w:pPr>
            <w:r w:rsidRPr="00955AFC">
              <w:rPr>
                <w:rFonts w:ascii="Times New Roman" w:eastAsia="Times New Roman" w:hAnsi="Times New Roman" w:cs="Times New Roman"/>
                <w:lang w:eastAsia="es-ES"/>
              </w:rPr>
              <w:t>Les afecta la limitación del DL 29/2026, salvo que la entidad que inste la ejecución acredite su adhesión y cumplimiento del Código de Buenas Prácticas aprobado por Acuerdo del Consejo de Ministros</w:t>
            </w:r>
            <w:r w:rsidR="00955AFC">
              <w:rPr>
                <w:rFonts w:ascii="Times New Roman" w:eastAsia="Times New Roman" w:hAnsi="Times New Roman" w:cs="Times New Roman"/>
                <w:lang w:eastAsia="es-ES"/>
              </w:rPr>
              <w:t xml:space="preserve"> (art. 1-4)</w:t>
            </w:r>
            <w:r w:rsidRPr="00955AFC">
              <w:rPr>
                <w:rFonts w:ascii="Times New Roman" w:eastAsia="Times New Roman" w:hAnsi="Times New Roman" w:cs="Times New Roman"/>
                <w:lang w:eastAsia="es-ES"/>
              </w:rPr>
              <w:t>.</w:t>
            </w:r>
          </w:p>
        </w:tc>
      </w:tr>
      <w:tr w:rsidR="006D5995" w:rsidRPr="000E48AA" w14:paraId="4AA4E496" w14:textId="77777777" w:rsidTr="00955AFC">
        <w:trPr>
          <w:trHeight w:val="301"/>
          <w:jc w:val="center"/>
        </w:trPr>
        <w:tc>
          <w:tcPr>
            <w:tcW w:w="1678" w:type="dxa"/>
            <w:tcBorders>
              <w:top w:val="single" w:sz="12" w:space="0" w:color="auto"/>
              <w:left w:val="single" w:sz="18" w:space="0" w:color="auto"/>
              <w:bottom w:val="single" w:sz="12" w:space="0" w:color="auto"/>
              <w:right w:val="single" w:sz="12" w:space="0" w:color="auto"/>
            </w:tcBorders>
            <w:shd w:val="clear" w:color="auto" w:fill="E7E6E6" w:themeFill="background2"/>
            <w:vAlign w:val="center"/>
          </w:tcPr>
          <w:p w14:paraId="79B0E15F" w14:textId="77777777" w:rsidR="006D5995" w:rsidRDefault="006D5995" w:rsidP="00EA4E4C">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Cesiones de créditos hipotecarios</w:t>
            </w:r>
          </w:p>
        </w:tc>
        <w:tc>
          <w:tcPr>
            <w:tcW w:w="5810" w:type="dxa"/>
            <w:tcBorders>
              <w:top w:val="single" w:sz="12" w:space="0" w:color="auto"/>
              <w:left w:val="single" w:sz="12" w:space="0" w:color="auto"/>
              <w:bottom w:val="single" w:sz="12" w:space="0" w:color="auto"/>
              <w:right w:val="single" w:sz="18" w:space="0" w:color="auto"/>
            </w:tcBorders>
            <w:shd w:val="clear" w:color="auto" w:fill="E7E6E6" w:themeFill="background2"/>
            <w:vAlign w:val="center"/>
          </w:tcPr>
          <w:p w14:paraId="11C2E4F6" w14:textId="77777777" w:rsidR="006D5995" w:rsidRPr="00C20889" w:rsidRDefault="006D5995" w:rsidP="00C20889">
            <w:pPr>
              <w:spacing w:before="60" w:after="0" w:line="180" w:lineRule="exact"/>
              <w:jc w:val="both"/>
              <w:rPr>
                <w:rFonts w:ascii="Times New Roman" w:eastAsia="Times New Roman" w:hAnsi="Times New Roman" w:cs="Times New Roman"/>
                <w:sz w:val="18"/>
                <w:szCs w:val="18"/>
                <w:lang w:eastAsia="es-ES"/>
              </w:rPr>
            </w:pPr>
            <w:r w:rsidRPr="00C20889">
              <w:rPr>
                <w:rFonts w:ascii="Times New Roman" w:eastAsia="Times New Roman" w:hAnsi="Times New Roman" w:cs="Times New Roman"/>
                <w:sz w:val="18"/>
                <w:szCs w:val="18"/>
                <w:lang w:eastAsia="es-ES"/>
              </w:rPr>
              <w:t>La limitación del DL 29/2026 opera no en el momento de la cesión del crédito hipotecario [individual o de cartera, impagado o no, en ejecución o no] sino en el momento de su ejecución.</w:t>
            </w:r>
          </w:p>
          <w:p w14:paraId="7CD6771F" w14:textId="77777777" w:rsidR="006D5995" w:rsidRPr="00955AFC" w:rsidRDefault="006D5995" w:rsidP="00C20889">
            <w:pPr>
              <w:spacing w:after="60" w:line="180" w:lineRule="exact"/>
              <w:jc w:val="both"/>
              <w:rPr>
                <w:rFonts w:ascii="Times New Roman" w:eastAsia="Times New Roman" w:hAnsi="Times New Roman" w:cs="Times New Roman"/>
                <w:lang w:eastAsia="es-ES"/>
              </w:rPr>
            </w:pPr>
            <w:r w:rsidRPr="00C20889">
              <w:rPr>
                <w:rFonts w:ascii="Times New Roman" w:eastAsia="Times New Roman" w:hAnsi="Times New Roman" w:cs="Times New Roman"/>
                <w:sz w:val="18"/>
                <w:szCs w:val="18"/>
                <w:lang w:eastAsia="es-ES"/>
              </w:rPr>
              <w:t>La ejecución es el momento que toma en consideración la excepción del art. 1-4. La referencia a la adquisición de carteras de préstamos hipotecarios impagados del art. 1-1 entiendo que es sólo la actividad que sirve para caracterizar a uno de los sujetos a los que afecta la limitación.</w:t>
            </w:r>
          </w:p>
        </w:tc>
      </w:tr>
      <w:tr w:rsidR="00DC0068" w:rsidRPr="000E48AA" w14:paraId="7559494D" w14:textId="77777777" w:rsidTr="00A82719">
        <w:trPr>
          <w:trHeight w:val="301"/>
          <w:jc w:val="center"/>
        </w:trPr>
        <w:tc>
          <w:tcPr>
            <w:tcW w:w="1678" w:type="dxa"/>
            <w:tcBorders>
              <w:top w:val="single" w:sz="12" w:space="0" w:color="auto"/>
              <w:left w:val="single" w:sz="18" w:space="0" w:color="auto"/>
              <w:bottom w:val="single" w:sz="2" w:space="0" w:color="auto"/>
              <w:right w:val="single" w:sz="12" w:space="0" w:color="auto"/>
            </w:tcBorders>
            <w:shd w:val="clear" w:color="auto" w:fill="FFFFFF" w:themeFill="background1"/>
            <w:vAlign w:val="center"/>
          </w:tcPr>
          <w:p w14:paraId="00BFC585" w14:textId="77777777" w:rsidR="00DC0068" w:rsidRDefault="00DC0068" w:rsidP="00EA4E4C">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Zonas tensionadas</w:t>
            </w:r>
          </w:p>
          <w:p w14:paraId="309EE57C" w14:textId="7A065A56" w:rsidR="008456BB" w:rsidRPr="008456BB" w:rsidRDefault="008456BB" w:rsidP="008456BB">
            <w:pPr>
              <w:spacing w:before="20" w:after="60" w:line="160" w:lineRule="exact"/>
              <w:jc w:val="center"/>
              <w:rPr>
                <w:rFonts w:ascii="Times New Roman" w:eastAsia="Times New Roman" w:hAnsi="Times New Roman" w:cs="Times New Roman"/>
                <w:b/>
                <w:sz w:val="16"/>
                <w:szCs w:val="16"/>
                <w:lang w:eastAsia="es-ES"/>
              </w:rPr>
            </w:pPr>
            <w:r w:rsidRPr="008456BB">
              <w:rPr>
                <w:rFonts w:ascii="Times New Roman" w:eastAsia="Times New Roman" w:hAnsi="Times New Roman" w:cs="Times New Roman"/>
                <w:sz w:val="16"/>
                <w:szCs w:val="16"/>
                <w:lang w:eastAsia="es-ES"/>
              </w:rPr>
              <w:t>[la enumeración de la normativa autonómica no es exhaustiva]</w:t>
            </w:r>
          </w:p>
        </w:tc>
        <w:tc>
          <w:tcPr>
            <w:tcW w:w="5810" w:type="dxa"/>
            <w:tcBorders>
              <w:top w:val="single" w:sz="12" w:space="0" w:color="auto"/>
              <w:left w:val="single" w:sz="12" w:space="0" w:color="auto"/>
              <w:bottom w:val="single" w:sz="2" w:space="0" w:color="auto"/>
              <w:right w:val="single" w:sz="18" w:space="0" w:color="auto"/>
            </w:tcBorders>
            <w:shd w:val="clear" w:color="auto" w:fill="FFFFFF" w:themeFill="background1"/>
            <w:vAlign w:val="center"/>
          </w:tcPr>
          <w:p w14:paraId="216B2BA0" w14:textId="61B03307" w:rsidR="00DC0068" w:rsidRDefault="00D90B2B" w:rsidP="00955AFC">
            <w:pPr>
              <w:spacing w:before="60" w:after="0" w:line="200" w:lineRule="exact"/>
              <w:jc w:val="both"/>
              <w:rPr>
                <w:rFonts w:ascii="Times New Roman" w:hAnsi="Times New Roman" w:cs="Times New Roman"/>
                <w:sz w:val="20"/>
                <w:szCs w:val="20"/>
              </w:rPr>
            </w:pPr>
            <w:r w:rsidRPr="00D90B2B">
              <w:rPr>
                <w:rFonts w:ascii="Times New Roman" w:eastAsia="Times New Roman" w:hAnsi="Times New Roman" w:cs="Times New Roman"/>
                <w:sz w:val="18"/>
                <w:szCs w:val="18"/>
                <w:lang w:eastAsia="es-ES"/>
              </w:rPr>
              <w:t xml:space="preserve">El </w:t>
            </w:r>
            <w:hyperlink r:id="rId25" w:history="1">
              <w:r w:rsidRPr="00EA4145">
                <w:rPr>
                  <w:rStyle w:val="Hipervnculo"/>
                  <w:rFonts w:ascii="Times New Roman" w:eastAsia="Times New Roman" w:hAnsi="Times New Roman" w:cs="Times New Roman"/>
                  <w:sz w:val="18"/>
                  <w:szCs w:val="18"/>
                  <w:lang w:eastAsia="es-ES"/>
                </w:rPr>
                <w:t>art. 1 del DL 29/2026</w:t>
              </w:r>
            </w:hyperlink>
            <w:r w:rsidRPr="00D90B2B">
              <w:rPr>
                <w:rFonts w:ascii="Times New Roman" w:eastAsia="Times New Roman" w:hAnsi="Times New Roman" w:cs="Times New Roman"/>
                <w:sz w:val="18"/>
                <w:szCs w:val="18"/>
                <w:lang w:eastAsia="es-ES"/>
              </w:rPr>
              <w:t xml:space="preserve"> se remite al </w:t>
            </w:r>
            <w:hyperlink r:id="rId26" w:anchor="a3" w:history="1">
              <w:r w:rsidR="00EA4145" w:rsidRPr="00D34370">
                <w:rPr>
                  <w:rStyle w:val="Hipervnculo"/>
                  <w:rFonts w:ascii="Times New Roman" w:eastAsia="Times New Roman" w:hAnsi="Times New Roman" w:cs="Times New Roman"/>
                  <w:sz w:val="20"/>
                  <w:szCs w:val="20"/>
                  <w:lang w:eastAsia="es-ES"/>
                </w:rPr>
                <w:t>art. 3-k de la Ley 12/2023</w:t>
              </w:r>
            </w:hyperlink>
            <w:r w:rsidR="00EA4145">
              <w:rPr>
                <w:rFonts w:ascii="Times New Roman" w:hAnsi="Times New Roman" w:cs="Times New Roman"/>
                <w:sz w:val="20"/>
                <w:szCs w:val="20"/>
              </w:rPr>
              <w:t xml:space="preserve"> para la determinación de la cualidad de gran tenedor, lo cual hace por la titularidad de más de 10 viviendas, pero prevé </w:t>
            </w:r>
            <w:r w:rsidR="00CD4AA0">
              <w:rPr>
                <w:rFonts w:ascii="Times New Roman" w:hAnsi="Times New Roman" w:cs="Times New Roman"/>
                <w:sz w:val="20"/>
                <w:szCs w:val="20"/>
              </w:rPr>
              <w:t>que cada Comunidad Autónoma pueda bajar el listón a 5 o más en las zonas tensionadas:</w:t>
            </w:r>
          </w:p>
          <w:p w14:paraId="588CB4C5" w14:textId="7AF41D6E" w:rsidR="00CD4AA0" w:rsidRDefault="00CD4AA0" w:rsidP="00CD4AA0">
            <w:pPr>
              <w:spacing w:after="0" w:line="200" w:lineRule="exact"/>
              <w:jc w:val="both"/>
              <w:rPr>
                <w:rFonts w:ascii="Times New Roman" w:hAnsi="Times New Roman" w:cs="Times New Roman"/>
                <w:sz w:val="20"/>
                <w:szCs w:val="20"/>
              </w:rPr>
            </w:pPr>
            <w:r>
              <w:rPr>
                <w:rFonts w:ascii="Times New Roman" w:hAnsi="Times New Roman" w:cs="Times New Roman"/>
                <w:sz w:val="20"/>
                <w:szCs w:val="20"/>
              </w:rPr>
              <w:t>- La vivienda a adquirir habría de estar ubicada en zona tensionada.</w:t>
            </w:r>
          </w:p>
          <w:p w14:paraId="5AD69685" w14:textId="169A18DD" w:rsidR="00CD4AA0" w:rsidRPr="00D90B2B" w:rsidRDefault="00CD4AA0" w:rsidP="00CD4AA0">
            <w:pPr>
              <w:spacing w:after="20" w:line="200" w:lineRule="exact"/>
              <w:jc w:val="both"/>
              <w:rPr>
                <w:rFonts w:ascii="Times New Roman" w:eastAsia="Times New Roman" w:hAnsi="Times New Roman" w:cs="Times New Roman"/>
                <w:sz w:val="18"/>
                <w:szCs w:val="18"/>
                <w:lang w:eastAsia="es-ES"/>
              </w:rPr>
            </w:pPr>
            <w:r>
              <w:rPr>
                <w:rFonts w:ascii="Times New Roman" w:hAnsi="Times New Roman" w:cs="Times New Roman"/>
                <w:sz w:val="20"/>
                <w:szCs w:val="20"/>
              </w:rPr>
              <w:t>- Y las viviendas computables para determinar la cualidad de gran tenedor serían sólo las ubicadas en zona tensionada de la Comunidad Autónoma en cuestión, aunque no estén todas en la misma zona tensionada, pues el precepto habla de “</w:t>
            </w:r>
            <w:r w:rsidRPr="00CD4AA0">
              <w:rPr>
                <w:rFonts w:ascii="Times New Roman" w:hAnsi="Times New Roman" w:cs="Times New Roman"/>
                <w:i/>
                <w:iCs/>
                <w:sz w:val="20"/>
                <w:szCs w:val="20"/>
              </w:rPr>
              <w:t>ubicadas en dicho ámbito</w:t>
            </w:r>
            <w:r>
              <w:rPr>
                <w:rFonts w:ascii="Times New Roman" w:hAnsi="Times New Roman" w:cs="Times New Roman"/>
                <w:sz w:val="20"/>
                <w:szCs w:val="20"/>
              </w:rPr>
              <w:t>”... de “</w:t>
            </w:r>
            <w:r w:rsidRPr="00CD4AA0">
              <w:rPr>
                <w:rFonts w:ascii="Times New Roman" w:hAnsi="Times New Roman" w:cs="Times New Roman"/>
                <w:i/>
                <w:iCs/>
                <w:sz w:val="20"/>
                <w:szCs w:val="20"/>
              </w:rPr>
              <w:t>mercado residencial tensionado</w:t>
            </w:r>
            <w:r>
              <w:rPr>
                <w:rFonts w:ascii="Times New Roman" w:hAnsi="Times New Roman" w:cs="Times New Roman"/>
                <w:sz w:val="20"/>
                <w:szCs w:val="20"/>
              </w:rPr>
              <w:t>”.</w:t>
            </w:r>
          </w:p>
        </w:tc>
      </w:tr>
      <w:tr w:rsidR="00A82719" w:rsidRPr="000E48AA" w14:paraId="520FC619" w14:textId="77777777" w:rsidTr="007327A8">
        <w:trPr>
          <w:trHeight w:val="301"/>
          <w:jc w:val="center"/>
        </w:trPr>
        <w:tc>
          <w:tcPr>
            <w:tcW w:w="1678" w:type="dxa"/>
            <w:tcBorders>
              <w:top w:val="single" w:sz="2" w:space="0" w:color="auto"/>
              <w:left w:val="single" w:sz="18" w:space="0" w:color="auto"/>
              <w:bottom w:val="single" w:sz="2" w:space="0" w:color="auto"/>
              <w:right w:val="single" w:sz="12" w:space="0" w:color="auto"/>
            </w:tcBorders>
            <w:shd w:val="clear" w:color="auto" w:fill="FFFFFF" w:themeFill="background1"/>
            <w:vAlign w:val="center"/>
          </w:tcPr>
          <w:p w14:paraId="74480240" w14:textId="77777777" w:rsidR="00A82719" w:rsidRDefault="000855DB" w:rsidP="00EA4E4C">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Asturias</w:t>
            </w:r>
          </w:p>
          <w:p w14:paraId="3A87E604" w14:textId="2093B8A9" w:rsidR="00B812F0" w:rsidRPr="00B812F0" w:rsidRDefault="00B812F0" w:rsidP="00B812F0">
            <w:pPr>
              <w:spacing w:before="60" w:after="0" w:line="160" w:lineRule="exact"/>
              <w:jc w:val="center"/>
              <w:rPr>
                <w:rFonts w:ascii="Times New Roman" w:eastAsia="Times New Roman" w:hAnsi="Times New Roman" w:cs="Times New Roman"/>
                <w:b/>
                <w:sz w:val="14"/>
                <w:szCs w:val="14"/>
                <w:lang w:eastAsia="es-ES"/>
              </w:rPr>
            </w:pPr>
            <w:hyperlink r:id="rId27" w:history="1">
              <w:r w:rsidRPr="00B812F0">
                <w:rPr>
                  <w:rStyle w:val="Hipervnculo"/>
                  <w:rFonts w:ascii="Times New Roman" w:eastAsia="Times New Roman" w:hAnsi="Times New Roman" w:cs="Times New Roman"/>
                  <w:sz w:val="14"/>
                  <w:szCs w:val="14"/>
                  <w:lang w:eastAsia="es-ES"/>
                </w:rPr>
                <w:t>www.oviedonotaria.com</w:t>
              </w:r>
            </w:hyperlink>
          </w:p>
        </w:tc>
        <w:tc>
          <w:tcPr>
            <w:tcW w:w="5810" w:type="dxa"/>
            <w:tcBorders>
              <w:top w:val="single" w:sz="2" w:space="0" w:color="auto"/>
              <w:left w:val="single" w:sz="12" w:space="0" w:color="auto"/>
              <w:bottom w:val="single" w:sz="2" w:space="0" w:color="auto"/>
              <w:right w:val="single" w:sz="18" w:space="0" w:color="auto"/>
            </w:tcBorders>
            <w:shd w:val="clear" w:color="auto" w:fill="FFFFFF" w:themeFill="background1"/>
            <w:vAlign w:val="center"/>
          </w:tcPr>
          <w:p w14:paraId="505B2A83" w14:textId="77777777" w:rsidR="003C21EC" w:rsidRDefault="003C21EC" w:rsidP="003C21EC">
            <w:pPr>
              <w:spacing w:before="60" w:after="0" w:line="20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S</w:t>
            </w:r>
            <w:r w:rsidR="00FC15B6">
              <w:rPr>
                <w:rFonts w:ascii="Times New Roman" w:eastAsia="Times New Roman" w:hAnsi="Times New Roman" w:cs="Times New Roman"/>
                <w:sz w:val="18"/>
                <w:szCs w:val="18"/>
                <w:lang w:eastAsia="es-ES"/>
              </w:rPr>
              <w:t xml:space="preserve">e han declarado </w:t>
            </w:r>
            <w:r>
              <w:rPr>
                <w:rFonts w:ascii="Times New Roman" w:eastAsia="Times New Roman" w:hAnsi="Times New Roman" w:cs="Times New Roman"/>
                <w:sz w:val="18"/>
                <w:szCs w:val="18"/>
                <w:lang w:eastAsia="es-ES"/>
              </w:rPr>
              <w:t>como</w:t>
            </w:r>
            <w:r w:rsidR="00FC15B6">
              <w:rPr>
                <w:rFonts w:ascii="Times New Roman" w:eastAsia="Times New Roman" w:hAnsi="Times New Roman" w:cs="Times New Roman"/>
                <w:sz w:val="18"/>
                <w:szCs w:val="18"/>
                <w:lang w:eastAsia="es-ES"/>
              </w:rPr>
              <w:t xml:space="preserve"> zonas tensionadas determinados barrios o núcleos de Avilés, Cabrales, Gijón, Gozón y Llanes; pero no Oviedo</w:t>
            </w:r>
            <w:r>
              <w:rPr>
                <w:rFonts w:ascii="Times New Roman" w:eastAsia="Times New Roman" w:hAnsi="Times New Roman" w:cs="Times New Roman"/>
                <w:sz w:val="18"/>
                <w:szCs w:val="18"/>
                <w:lang w:eastAsia="es-ES"/>
              </w:rPr>
              <w:t>.</w:t>
            </w:r>
          </w:p>
          <w:p w14:paraId="0A9004AB" w14:textId="29510D7D" w:rsidR="00A82719" w:rsidRPr="00D90B2B" w:rsidRDefault="003C21EC" w:rsidP="003C21EC">
            <w:pPr>
              <w:spacing w:after="60" w:line="20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El efecto</w:t>
            </w:r>
            <w:r w:rsidR="00FC15B6">
              <w:rPr>
                <w:rFonts w:ascii="Times New Roman" w:eastAsia="Times New Roman" w:hAnsi="Times New Roman" w:cs="Times New Roman"/>
                <w:sz w:val="18"/>
                <w:szCs w:val="18"/>
                <w:lang w:eastAsia="es-ES"/>
              </w:rPr>
              <w:t xml:space="preserve">, </w:t>
            </w:r>
            <w:r>
              <w:rPr>
                <w:rFonts w:ascii="Times New Roman" w:eastAsia="Times New Roman" w:hAnsi="Times New Roman" w:cs="Times New Roman"/>
                <w:sz w:val="18"/>
                <w:szCs w:val="18"/>
                <w:lang w:eastAsia="es-ES"/>
              </w:rPr>
              <w:t>en</w:t>
            </w:r>
            <w:r w:rsidR="00FC15B6">
              <w:rPr>
                <w:rFonts w:ascii="Times New Roman" w:eastAsia="Times New Roman" w:hAnsi="Times New Roman" w:cs="Times New Roman"/>
                <w:sz w:val="18"/>
                <w:szCs w:val="18"/>
                <w:lang w:eastAsia="es-ES"/>
              </w:rPr>
              <w:t xml:space="preserve"> la operativa notarial</w:t>
            </w:r>
            <w:r>
              <w:rPr>
                <w:rFonts w:ascii="Times New Roman" w:eastAsia="Times New Roman" w:hAnsi="Times New Roman" w:cs="Times New Roman"/>
                <w:sz w:val="18"/>
                <w:szCs w:val="18"/>
                <w:lang w:eastAsia="es-ES"/>
              </w:rPr>
              <w:t>, alcanza a los arrendamientos</w:t>
            </w:r>
            <w:r w:rsidR="00673CEF">
              <w:rPr>
                <w:rFonts w:ascii="Times New Roman" w:eastAsia="Times New Roman" w:hAnsi="Times New Roman" w:cs="Times New Roman"/>
                <w:sz w:val="18"/>
                <w:szCs w:val="18"/>
                <w:lang w:eastAsia="es-ES"/>
              </w:rPr>
              <w:t xml:space="preserve"> de vivienda</w:t>
            </w:r>
            <w:r>
              <w:rPr>
                <w:rFonts w:ascii="Times New Roman" w:eastAsia="Times New Roman" w:hAnsi="Times New Roman" w:cs="Times New Roman"/>
                <w:sz w:val="18"/>
                <w:szCs w:val="18"/>
                <w:lang w:eastAsia="es-ES"/>
              </w:rPr>
              <w:t xml:space="preserve"> </w:t>
            </w:r>
            <w:r w:rsidR="00C23BDD">
              <w:rPr>
                <w:rFonts w:ascii="Times New Roman" w:eastAsia="Times New Roman" w:hAnsi="Times New Roman" w:cs="Times New Roman"/>
                <w:sz w:val="18"/>
                <w:szCs w:val="18"/>
                <w:lang w:eastAsia="es-ES"/>
              </w:rPr>
              <w:t xml:space="preserve"> </w:t>
            </w:r>
            <w:r>
              <w:rPr>
                <w:rFonts w:ascii="Times New Roman" w:eastAsia="Times New Roman" w:hAnsi="Times New Roman" w:cs="Times New Roman"/>
                <w:sz w:val="18"/>
                <w:szCs w:val="18"/>
                <w:lang w:eastAsia="es-ES"/>
              </w:rPr>
              <w:t>(</w:t>
            </w:r>
            <w:hyperlink r:id="rId28" w:history="1">
              <w:r w:rsidRPr="003C21EC">
                <w:rPr>
                  <w:rStyle w:val="Hipervnculo"/>
                  <w:rFonts w:ascii="Times New Roman" w:eastAsia="Times New Roman" w:hAnsi="Times New Roman" w:cs="Times New Roman"/>
                  <w:sz w:val="18"/>
                  <w:szCs w:val="18"/>
                  <w:lang w:eastAsia="es-ES"/>
                </w:rPr>
                <w:t>Res</w:t>
              </w:r>
              <w:r w:rsidR="00673CEF">
                <w:rPr>
                  <w:rStyle w:val="Hipervnculo"/>
                  <w:rFonts w:ascii="Times New Roman" w:eastAsia="Times New Roman" w:hAnsi="Times New Roman" w:cs="Times New Roman"/>
                  <w:sz w:val="18"/>
                  <w:szCs w:val="18"/>
                  <w:lang w:eastAsia="es-ES"/>
                </w:rPr>
                <w:t>.</w:t>
              </w:r>
              <w:r w:rsidRPr="003C21EC">
                <w:rPr>
                  <w:rStyle w:val="Hipervnculo"/>
                  <w:rFonts w:ascii="Times New Roman" w:eastAsia="Times New Roman" w:hAnsi="Times New Roman" w:cs="Times New Roman"/>
                  <w:sz w:val="18"/>
                  <w:szCs w:val="18"/>
                  <w:lang w:eastAsia="es-ES"/>
                </w:rPr>
                <w:t xml:space="preserve"> de la Secretaría de Estado de Vivienda y Agenda Urbana de 24</w:t>
              </w:r>
              <w:r w:rsidR="0063585E">
                <w:rPr>
                  <w:rStyle w:val="Hipervnculo"/>
                  <w:rFonts w:ascii="Times New Roman" w:eastAsia="Times New Roman" w:hAnsi="Times New Roman" w:cs="Times New Roman"/>
                  <w:sz w:val="18"/>
                  <w:szCs w:val="18"/>
                  <w:lang w:eastAsia="es-ES"/>
                </w:rPr>
                <w:t>/07/</w:t>
              </w:r>
              <w:r w:rsidRPr="003C21EC">
                <w:rPr>
                  <w:rStyle w:val="Hipervnculo"/>
                  <w:rFonts w:ascii="Times New Roman" w:eastAsia="Times New Roman" w:hAnsi="Times New Roman" w:cs="Times New Roman"/>
                  <w:sz w:val="18"/>
                  <w:szCs w:val="18"/>
                  <w:lang w:eastAsia="es-ES"/>
                </w:rPr>
                <w:t xml:space="preserve"> 2026</w:t>
              </w:r>
            </w:hyperlink>
            <w:r>
              <w:rPr>
                <w:rFonts w:ascii="Times New Roman" w:eastAsia="Times New Roman" w:hAnsi="Times New Roman" w:cs="Times New Roman"/>
                <w:sz w:val="18"/>
                <w:szCs w:val="18"/>
                <w:lang w:eastAsia="es-ES"/>
              </w:rPr>
              <w:t>) y a la condición de gran tenedor, personas físicas o jurídicas, para la aplicación del tipo incrementado del 20% en ITPO</w:t>
            </w:r>
            <w:r w:rsidR="00F90741">
              <w:rPr>
                <w:rFonts w:ascii="Times New Roman" w:eastAsia="Times New Roman" w:hAnsi="Times New Roman" w:cs="Times New Roman"/>
                <w:sz w:val="18"/>
                <w:szCs w:val="18"/>
                <w:lang w:eastAsia="es-ES"/>
              </w:rPr>
              <w:t xml:space="preserve"> (</w:t>
            </w:r>
            <w:hyperlink r:id="rId29" w:anchor="a31b" w:history="1">
              <w:r w:rsidR="00F90741">
                <w:rPr>
                  <w:rStyle w:val="Hipervnculo"/>
                  <w:rFonts w:ascii="Times New Roman" w:eastAsia="Times New Roman" w:hAnsi="Times New Roman" w:cs="Times New Roman"/>
                  <w:sz w:val="18"/>
                  <w:szCs w:val="18"/>
                  <w:lang w:val="es-ES_tradnl" w:eastAsia="es-ES"/>
                </w:rPr>
                <w:t>a</w:t>
              </w:r>
              <w:r w:rsidR="00F90741" w:rsidRPr="00F90741">
                <w:rPr>
                  <w:rStyle w:val="Hipervnculo"/>
                  <w:rFonts w:ascii="Times New Roman" w:eastAsia="Times New Roman" w:hAnsi="Times New Roman" w:cs="Times New Roman"/>
                  <w:sz w:val="18"/>
                  <w:szCs w:val="18"/>
                  <w:lang w:val="es-ES_tradnl" w:eastAsia="es-ES"/>
                </w:rPr>
                <w:t>rt. 31 bis D-leg 2/2024</w:t>
              </w:r>
            </w:hyperlink>
            <w:r w:rsidR="00F90741">
              <w:rPr>
                <w:rFonts w:ascii="Times New Roman" w:eastAsia="Times New Roman" w:hAnsi="Times New Roman" w:cs="Times New Roman"/>
                <w:sz w:val="18"/>
                <w:szCs w:val="18"/>
                <w:lang w:val="es-ES_tradnl" w:eastAsia="es-ES"/>
              </w:rPr>
              <w:t>)</w:t>
            </w:r>
            <w:r>
              <w:rPr>
                <w:rFonts w:ascii="Times New Roman" w:eastAsia="Times New Roman" w:hAnsi="Times New Roman" w:cs="Times New Roman"/>
                <w:sz w:val="18"/>
                <w:szCs w:val="18"/>
                <w:lang w:eastAsia="es-ES"/>
              </w:rPr>
              <w:t xml:space="preserve">; pero no a la limitación del </w:t>
            </w:r>
            <w:hyperlink r:id="rId30" w:history="1">
              <w:r w:rsidRPr="00EA4145">
                <w:rPr>
                  <w:rStyle w:val="Hipervnculo"/>
                  <w:rFonts w:ascii="Times New Roman" w:eastAsia="Times New Roman" w:hAnsi="Times New Roman" w:cs="Times New Roman"/>
                  <w:sz w:val="18"/>
                  <w:szCs w:val="18"/>
                  <w:lang w:eastAsia="es-ES"/>
                </w:rPr>
                <w:t>art. 1 DL 29/2026</w:t>
              </w:r>
            </w:hyperlink>
            <w:r w:rsidR="0063585E">
              <w:rPr>
                <w:rFonts w:ascii="Times New Roman" w:eastAsia="Times New Roman" w:hAnsi="Times New Roman" w:cs="Times New Roman"/>
                <w:sz w:val="18"/>
                <w:szCs w:val="18"/>
                <w:lang w:eastAsia="es-ES"/>
              </w:rPr>
              <w:t xml:space="preserve">... </w:t>
            </w:r>
            <w:r>
              <w:rPr>
                <w:rFonts w:ascii="Times New Roman" w:eastAsia="Times New Roman" w:hAnsi="Times New Roman" w:cs="Times New Roman"/>
                <w:sz w:val="18"/>
                <w:szCs w:val="18"/>
                <w:lang w:eastAsia="es-ES"/>
              </w:rPr>
              <w:t>en espera de una anunciada Ley de Vivienda.</w:t>
            </w:r>
          </w:p>
        </w:tc>
      </w:tr>
      <w:tr w:rsidR="007327A8" w:rsidRPr="000E48AA" w14:paraId="675FCD0D" w14:textId="77777777" w:rsidTr="00A82719">
        <w:trPr>
          <w:trHeight w:val="301"/>
          <w:jc w:val="center"/>
        </w:trPr>
        <w:tc>
          <w:tcPr>
            <w:tcW w:w="1678" w:type="dxa"/>
            <w:tcBorders>
              <w:top w:val="single" w:sz="2" w:space="0" w:color="auto"/>
              <w:left w:val="single" w:sz="18" w:space="0" w:color="auto"/>
              <w:bottom w:val="single" w:sz="12" w:space="0" w:color="auto"/>
              <w:right w:val="single" w:sz="12" w:space="0" w:color="auto"/>
            </w:tcBorders>
            <w:shd w:val="clear" w:color="auto" w:fill="FFFFFF" w:themeFill="background1"/>
            <w:vAlign w:val="center"/>
          </w:tcPr>
          <w:p w14:paraId="72939141" w14:textId="2925747A" w:rsidR="007327A8" w:rsidRDefault="007327A8" w:rsidP="00EA4E4C">
            <w:pPr>
              <w:spacing w:before="60" w:after="0" w:line="200" w:lineRule="exact"/>
              <w:jc w:val="center"/>
              <w:rPr>
                <w:rFonts w:ascii="Times New Roman" w:eastAsia="Times New Roman" w:hAnsi="Times New Roman" w:cs="Times New Roman"/>
                <w:b/>
                <w:lang w:eastAsia="es-ES"/>
              </w:rPr>
            </w:pPr>
            <w:r>
              <w:rPr>
                <w:rFonts w:ascii="Times New Roman" w:eastAsia="Times New Roman" w:hAnsi="Times New Roman" w:cs="Times New Roman"/>
                <w:b/>
                <w:lang w:eastAsia="es-ES"/>
              </w:rPr>
              <w:t>Andalucía</w:t>
            </w:r>
          </w:p>
        </w:tc>
        <w:tc>
          <w:tcPr>
            <w:tcW w:w="5810" w:type="dxa"/>
            <w:tcBorders>
              <w:top w:val="single" w:sz="2" w:space="0" w:color="auto"/>
              <w:left w:val="single" w:sz="12" w:space="0" w:color="auto"/>
              <w:bottom w:val="single" w:sz="12" w:space="0" w:color="auto"/>
              <w:right w:val="single" w:sz="18" w:space="0" w:color="auto"/>
            </w:tcBorders>
            <w:shd w:val="clear" w:color="auto" w:fill="FFFFFF" w:themeFill="background1"/>
            <w:vAlign w:val="center"/>
          </w:tcPr>
          <w:p w14:paraId="22385D4B" w14:textId="3465258A" w:rsidR="007327A8" w:rsidRDefault="007327A8" w:rsidP="003C21EC">
            <w:pPr>
              <w:spacing w:before="60" w:after="0" w:line="200" w:lineRule="exact"/>
              <w:jc w:val="both"/>
              <w:rPr>
                <w:rFonts w:ascii="Times New Roman" w:eastAsia="Times New Roman" w:hAnsi="Times New Roman" w:cs="Times New Roman"/>
                <w:sz w:val="18"/>
                <w:szCs w:val="18"/>
                <w:lang w:eastAsia="es-ES"/>
              </w:rPr>
            </w:pPr>
            <w:r>
              <w:rPr>
                <w:rFonts w:ascii="Times New Roman" w:eastAsia="Times New Roman" w:hAnsi="Times New Roman" w:cs="Times New Roman"/>
                <w:sz w:val="18"/>
                <w:szCs w:val="18"/>
                <w:lang w:eastAsia="es-ES"/>
              </w:rPr>
              <w:t>No hay declaradas zonas tensionadas a ningún efecto.</w:t>
            </w:r>
          </w:p>
        </w:tc>
      </w:tr>
    </w:tbl>
    <w:p w14:paraId="32E21FF1" w14:textId="77777777" w:rsidR="006D5995" w:rsidRDefault="006D5995" w:rsidP="006D5995"/>
    <w:p w14:paraId="5C18E0EF" w14:textId="2ABE91F3" w:rsidR="00BA6035" w:rsidRPr="00FA04B7" w:rsidRDefault="00BA6035" w:rsidP="00FA04B7"/>
    <w:sectPr w:rsidR="00BA6035" w:rsidRPr="00FA04B7">
      <w:footerReference w:type="default" r:id="rId3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95F77" w14:textId="77777777" w:rsidR="001050D0" w:rsidRDefault="001050D0" w:rsidP="00496F17">
      <w:pPr>
        <w:spacing w:after="0" w:line="240" w:lineRule="auto"/>
      </w:pPr>
      <w:r>
        <w:separator/>
      </w:r>
    </w:p>
  </w:endnote>
  <w:endnote w:type="continuationSeparator" w:id="0">
    <w:p w14:paraId="7452DCC4" w14:textId="77777777" w:rsidR="001050D0" w:rsidRDefault="001050D0" w:rsidP="00496F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C501" w14:textId="520A299E" w:rsidR="00496F17" w:rsidRDefault="00496F17" w:rsidP="00450A58">
    <w:pPr>
      <w:pStyle w:val="Piedepgina"/>
      <w:spacing w:line="200" w:lineRule="exact"/>
      <w:jc w:val="center"/>
      <w:rPr>
        <w:i/>
        <w:iCs/>
      </w:rPr>
    </w:pPr>
    <w:r w:rsidRPr="00496F17">
      <w:rPr>
        <w:i/>
        <w:iCs/>
      </w:rPr>
      <w:t>Vicente Martorell, notario de Oviedo</w:t>
    </w:r>
  </w:p>
  <w:p w14:paraId="1C95F0AA" w14:textId="63FF1BDE" w:rsidR="00172359" w:rsidRPr="00496F17" w:rsidRDefault="00E80972" w:rsidP="00450A58">
    <w:pPr>
      <w:pStyle w:val="Piedepgina"/>
      <w:spacing w:line="200" w:lineRule="exact"/>
      <w:jc w:val="center"/>
      <w:rPr>
        <w:i/>
        <w:iCs/>
      </w:rPr>
    </w:pPr>
    <w:r>
      <w:rPr>
        <w:i/>
        <w:iCs/>
      </w:rPr>
      <w:t>a</w:t>
    </w:r>
    <w:r w:rsidR="00172359">
      <w:rPr>
        <w:i/>
        <w:iCs/>
      </w:rPr>
      <w:t>ctualizado en www.oviedonotaria.com</w:t>
    </w:r>
  </w:p>
  <w:p w14:paraId="64D50FA2" w14:textId="2E239743" w:rsidR="00496F17" w:rsidRPr="00496F17" w:rsidRDefault="008D081F" w:rsidP="00450A58">
    <w:pPr>
      <w:pStyle w:val="Piedepgina"/>
      <w:spacing w:line="200" w:lineRule="exact"/>
      <w:jc w:val="center"/>
      <w:rPr>
        <w:i/>
        <w:iCs/>
      </w:rPr>
    </w:pPr>
    <w:r>
      <w:rPr>
        <w:i/>
        <w:iCs/>
      </w:rPr>
      <w:t>20</w:t>
    </w:r>
    <w:r w:rsidR="00496F17" w:rsidRPr="00496F17">
      <w:rPr>
        <w:i/>
        <w:iCs/>
      </w:rPr>
      <w:t>/10/2026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158C" w14:textId="77777777" w:rsidR="001050D0" w:rsidRDefault="001050D0" w:rsidP="00496F17">
      <w:pPr>
        <w:spacing w:after="0" w:line="240" w:lineRule="auto"/>
      </w:pPr>
      <w:r>
        <w:separator/>
      </w:r>
    </w:p>
  </w:footnote>
  <w:footnote w:type="continuationSeparator" w:id="0">
    <w:p w14:paraId="53A15AC4" w14:textId="77777777" w:rsidR="001050D0" w:rsidRDefault="001050D0" w:rsidP="00496F1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345D2"/>
    <w:multiLevelType w:val="hybridMultilevel"/>
    <w:tmpl w:val="8C2CE1C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 w15:restartNumberingAfterBreak="0">
    <w:nsid w:val="756C04CE"/>
    <w:multiLevelType w:val="hybridMultilevel"/>
    <w:tmpl w:val="32203EFA"/>
    <w:lvl w:ilvl="0" w:tplc="74DA30BA">
      <w:start w:val="1"/>
      <w:numFmt w:val="decimal"/>
      <w:lvlText w:val="%1."/>
      <w:lvlJc w:val="left"/>
      <w:pPr>
        <w:ind w:left="360" w:hanging="360"/>
      </w:pPr>
      <w:rPr>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684676635">
    <w:abstractNumId w:val="0"/>
  </w:num>
  <w:num w:numId="2" w16cid:durableId="1425511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B7"/>
    <w:rsid w:val="00004124"/>
    <w:rsid w:val="0000510F"/>
    <w:rsid w:val="000071D6"/>
    <w:rsid w:val="0003170D"/>
    <w:rsid w:val="000517F1"/>
    <w:rsid w:val="000548DA"/>
    <w:rsid w:val="00067FC9"/>
    <w:rsid w:val="00077729"/>
    <w:rsid w:val="000812ED"/>
    <w:rsid w:val="000855DB"/>
    <w:rsid w:val="0009245B"/>
    <w:rsid w:val="000A0B9C"/>
    <w:rsid w:val="000C1C8F"/>
    <w:rsid w:val="000C554E"/>
    <w:rsid w:val="000C5C8C"/>
    <w:rsid w:val="000C6AAE"/>
    <w:rsid w:val="000D392C"/>
    <w:rsid w:val="000F446A"/>
    <w:rsid w:val="000F6213"/>
    <w:rsid w:val="000F7DA6"/>
    <w:rsid w:val="001050D0"/>
    <w:rsid w:val="00105ED7"/>
    <w:rsid w:val="0010603A"/>
    <w:rsid w:val="00106DC2"/>
    <w:rsid w:val="00112B97"/>
    <w:rsid w:val="00112FAF"/>
    <w:rsid w:val="0011555E"/>
    <w:rsid w:val="00124584"/>
    <w:rsid w:val="00132648"/>
    <w:rsid w:val="00164AE0"/>
    <w:rsid w:val="00164D01"/>
    <w:rsid w:val="00164D76"/>
    <w:rsid w:val="0016629D"/>
    <w:rsid w:val="00170ED0"/>
    <w:rsid w:val="00172359"/>
    <w:rsid w:val="00172624"/>
    <w:rsid w:val="001840E4"/>
    <w:rsid w:val="001843AE"/>
    <w:rsid w:val="00184D97"/>
    <w:rsid w:val="001915DD"/>
    <w:rsid w:val="00196FCB"/>
    <w:rsid w:val="001A06C6"/>
    <w:rsid w:val="001A4F44"/>
    <w:rsid w:val="001C0084"/>
    <w:rsid w:val="001C2FAA"/>
    <w:rsid w:val="001C62F4"/>
    <w:rsid w:val="001D41B2"/>
    <w:rsid w:val="001D4CA6"/>
    <w:rsid w:val="001F36B3"/>
    <w:rsid w:val="0020493A"/>
    <w:rsid w:val="002204ED"/>
    <w:rsid w:val="002222E0"/>
    <w:rsid w:val="0022631E"/>
    <w:rsid w:val="00241B70"/>
    <w:rsid w:val="002446C8"/>
    <w:rsid w:val="0026063B"/>
    <w:rsid w:val="00264F76"/>
    <w:rsid w:val="0027314A"/>
    <w:rsid w:val="00282D4A"/>
    <w:rsid w:val="00297208"/>
    <w:rsid w:val="002B337F"/>
    <w:rsid w:val="002B3DCF"/>
    <w:rsid w:val="002C1B02"/>
    <w:rsid w:val="002D1D9F"/>
    <w:rsid w:val="002E1B3B"/>
    <w:rsid w:val="002F7430"/>
    <w:rsid w:val="002F7E74"/>
    <w:rsid w:val="00301FEB"/>
    <w:rsid w:val="00303B2C"/>
    <w:rsid w:val="00313DA9"/>
    <w:rsid w:val="00317430"/>
    <w:rsid w:val="003204CA"/>
    <w:rsid w:val="003207D1"/>
    <w:rsid w:val="003437FE"/>
    <w:rsid w:val="00346791"/>
    <w:rsid w:val="00352117"/>
    <w:rsid w:val="003521E9"/>
    <w:rsid w:val="00361641"/>
    <w:rsid w:val="0036215A"/>
    <w:rsid w:val="003755A6"/>
    <w:rsid w:val="00377311"/>
    <w:rsid w:val="00377BD4"/>
    <w:rsid w:val="00390F5D"/>
    <w:rsid w:val="003A5178"/>
    <w:rsid w:val="003B7DCD"/>
    <w:rsid w:val="003C001A"/>
    <w:rsid w:val="003C21EC"/>
    <w:rsid w:val="003D3E59"/>
    <w:rsid w:val="003E3EB1"/>
    <w:rsid w:val="003F5484"/>
    <w:rsid w:val="003F5D9A"/>
    <w:rsid w:val="004005A8"/>
    <w:rsid w:val="0040301F"/>
    <w:rsid w:val="004046A6"/>
    <w:rsid w:val="004101DA"/>
    <w:rsid w:val="00421908"/>
    <w:rsid w:val="00442268"/>
    <w:rsid w:val="00444B12"/>
    <w:rsid w:val="00450A58"/>
    <w:rsid w:val="004538B9"/>
    <w:rsid w:val="00453C51"/>
    <w:rsid w:val="00456791"/>
    <w:rsid w:val="004645D3"/>
    <w:rsid w:val="0046473E"/>
    <w:rsid w:val="00471845"/>
    <w:rsid w:val="00474E37"/>
    <w:rsid w:val="00490ABF"/>
    <w:rsid w:val="00493120"/>
    <w:rsid w:val="00496F17"/>
    <w:rsid w:val="004A4C7B"/>
    <w:rsid w:val="004A5CC5"/>
    <w:rsid w:val="004B4AD9"/>
    <w:rsid w:val="004B7319"/>
    <w:rsid w:val="004C0291"/>
    <w:rsid w:val="004C5A7F"/>
    <w:rsid w:val="004D5FC0"/>
    <w:rsid w:val="004F2752"/>
    <w:rsid w:val="004F63CF"/>
    <w:rsid w:val="005022CC"/>
    <w:rsid w:val="0050577B"/>
    <w:rsid w:val="00511578"/>
    <w:rsid w:val="005138D9"/>
    <w:rsid w:val="00522D79"/>
    <w:rsid w:val="0052301F"/>
    <w:rsid w:val="00532D57"/>
    <w:rsid w:val="00532E0B"/>
    <w:rsid w:val="00534785"/>
    <w:rsid w:val="00545E4F"/>
    <w:rsid w:val="00547438"/>
    <w:rsid w:val="005530F5"/>
    <w:rsid w:val="00553969"/>
    <w:rsid w:val="00554E65"/>
    <w:rsid w:val="0056769B"/>
    <w:rsid w:val="00581D27"/>
    <w:rsid w:val="0058274D"/>
    <w:rsid w:val="0058772D"/>
    <w:rsid w:val="00596AEE"/>
    <w:rsid w:val="005A136D"/>
    <w:rsid w:val="005A3E3F"/>
    <w:rsid w:val="005C2C6C"/>
    <w:rsid w:val="005C30F9"/>
    <w:rsid w:val="005C587B"/>
    <w:rsid w:val="005D37BA"/>
    <w:rsid w:val="005D674D"/>
    <w:rsid w:val="005E54A9"/>
    <w:rsid w:val="005F5F43"/>
    <w:rsid w:val="005F6C80"/>
    <w:rsid w:val="005F6DC0"/>
    <w:rsid w:val="006124B9"/>
    <w:rsid w:val="0061251B"/>
    <w:rsid w:val="00614A48"/>
    <w:rsid w:val="00623778"/>
    <w:rsid w:val="006261AF"/>
    <w:rsid w:val="0062708A"/>
    <w:rsid w:val="00631D2D"/>
    <w:rsid w:val="0063290C"/>
    <w:rsid w:val="00633D67"/>
    <w:rsid w:val="0063585E"/>
    <w:rsid w:val="006370E6"/>
    <w:rsid w:val="00641B36"/>
    <w:rsid w:val="006439ED"/>
    <w:rsid w:val="006551F7"/>
    <w:rsid w:val="00673CEF"/>
    <w:rsid w:val="0067791F"/>
    <w:rsid w:val="006935AE"/>
    <w:rsid w:val="00696248"/>
    <w:rsid w:val="006A1303"/>
    <w:rsid w:val="006A541D"/>
    <w:rsid w:val="006A65B9"/>
    <w:rsid w:val="006C5A65"/>
    <w:rsid w:val="006D4B60"/>
    <w:rsid w:val="006D5995"/>
    <w:rsid w:val="006E1915"/>
    <w:rsid w:val="006E23EC"/>
    <w:rsid w:val="006E333F"/>
    <w:rsid w:val="006E7A64"/>
    <w:rsid w:val="006E7D92"/>
    <w:rsid w:val="006F15A3"/>
    <w:rsid w:val="006F4596"/>
    <w:rsid w:val="006F5154"/>
    <w:rsid w:val="007034BD"/>
    <w:rsid w:val="007107CF"/>
    <w:rsid w:val="00711104"/>
    <w:rsid w:val="00721855"/>
    <w:rsid w:val="007268E7"/>
    <w:rsid w:val="00727CD3"/>
    <w:rsid w:val="007327A8"/>
    <w:rsid w:val="007425CC"/>
    <w:rsid w:val="00745954"/>
    <w:rsid w:val="00745CDF"/>
    <w:rsid w:val="00761E98"/>
    <w:rsid w:val="00764B4C"/>
    <w:rsid w:val="007670A4"/>
    <w:rsid w:val="00774A2A"/>
    <w:rsid w:val="00774D57"/>
    <w:rsid w:val="00787E8A"/>
    <w:rsid w:val="00791A08"/>
    <w:rsid w:val="00794877"/>
    <w:rsid w:val="00797A56"/>
    <w:rsid w:val="007A6BEA"/>
    <w:rsid w:val="007A71B7"/>
    <w:rsid w:val="007B6929"/>
    <w:rsid w:val="007C6466"/>
    <w:rsid w:val="007D1E2D"/>
    <w:rsid w:val="007D4DAC"/>
    <w:rsid w:val="007D784B"/>
    <w:rsid w:val="007E3B28"/>
    <w:rsid w:val="007E4B9D"/>
    <w:rsid w:val="007E7F3B"/>
    <w:rsid w:val="007F4D68"/>
    <w:rsid w:val="00814B8C"/>
    <w:rsid w:val="00814CE1"/>
    <w:rsid w:val="00815417"/>
    <w:rsid w:val="00836519"/>
    <w:rsid w:val="008456BB"/>
    <w:rsid w:val="00853F48"/>
    <w:rsid w:val="00855D2A"/>
    <w:rsid w:val="0086199C"/>
    <w:rsid w:val="00864B0D"/>
    <w:rsid w:val="0088522C"/>
    <w:rsid w:val="00885BE2"/>
    <w:rsid w:val="00886C7A"/>
    <w:rsid w:val="008922A8"/>
    <w:rsid w:val="008A14ED"/>
    <w:rsid w:val="008A1E9C"/>
    <w:rsid w:val="008A3617"/>
    <w:rsid w:val="008A4096"/>
    <w:rsid w:val="008B3D9E"/>
    <w:rsid w:val="008C3C62"/>
    <w:rsid w:val="008D081F"/>
    <w:rsid w:val="008D3377"/>
    <w:rsid w:val="008D4056"/>
    <w:rsid w:val="008D7029"/>
    <w:rsid w:val="008E00DB"/>
    <w:rsid w:val="008E0FE6"/>
    <w:rsid w:val="008E3440"/>
    <w:rsid w:val="008F574A"/>
    <w:rsid w:val="0091716F"/>
    <w:rsid w:val="00917804"/>
    <w:rsid w:val="00917C5A"/>
    <w:rsid w:val="00921BEF"/>
    <w:rsid w:val="00924DDA"/>
    <w:rsid w:val="00942E84"/>
    <w:rsid w:val="009555C0"/>
    <w:rsid w:val="00955AFC"/>
    <w:rsid w:val="00955F47"/>
    <w:rsid w:val="00963114"/>
    <w:rsid w:val="00963497"/>
    <w:rsid w:val="00966D9F"/>
    <w:rsid w:val="00972420"/>
    <w:rsid w:val="00980B66"/>
    <w:rsid w:val="00980E36"/>
    <w:rsid w:val="00992C76"/>
    <w:rsid w:val="009956B5"/>
    <w:rsid w:val="00995F00"/>
    <w:rsid w:val="00996432"/>
    <w:rsid w:val="009A5331"/>
    <w:rsid w:val="009C3BE7"/>
    <w:rsid w:val="009D2F93"/>
    <w:rsid w:val="009E7F51"/>
    <w:rsid w:val="009F546B"/>
    <w:rsid w:val="009F5776"/>
    <w:rsid w:val="00A22575"/>
    <w:rsid w:val="00A34E58"/>
    <w:rsid w:val="00A34FE9"/>
    <w:rsid w:val="00A44DB7"/>
    <w:rsid w:val="00A468F5"/>
    <w:rsid w:val="00A52090"/>
    <w:rsid w:val="00A61341"/>
    <w:rsid w:val="00A71590"/>
    <w:rsid w:val="00A766AC"/>
    <w:rsid w:val="00A80D4E"/>
    <w:rsid w:val="00A82719"/>
    <w:rsid w:val="00A83B5E"/>
    <w:rsid w:val="00A95E6A"/>
    <w:rsid w:val="00AA04AD"/>
    <w:rsid w:val="00AA1901"/>
    <w:rsid w:val="00AA42ED"/>
    <w:rsid w:val="00AB1AB4"/>
    <w:rsid w:val="00AB2585"/>
    <w:rsid w:val="00AB2AA4"/>
    <w:rsid w:val="00AD0407"/>
    <w:rsid w:val="00AD1711"/>
    <w:rsid w:val="00AD65A3"/>
    <w:rsid w:val="00AF108D"/>
    <w:rsid w:val="00AF11DD"/>
    <w:rsid w:val="00AF3D25"/>
    <w:rsid w:val="00AF509D"/>
    <w:rsid w:val="00AF6F02"/>
    <w:rsid w:val="00B04782"/>
    <w:rsid w:val="00B0495E"/>
    <w:rsid w:val="00B06941"/>
    <w:rsid w:val="00B10B37"/>
    <w:rsid w:val="00B16CDC"/>
    <w:rsid w:val="00B23506"/>
    <w:rsid w:val="00B32260"/>
    <w:rsid w:val="00B32FFA"/>
    <w:rsid w:val="00B43537"/>
    <w:rsid w:val="00B4542F"/>
    <w:rsid w:val="00B61522"/>
    <w:rsid w:val="00B617EE"/>
    <w:rsid w:val="00B812F0"/>
    <w:rsid w:val="00B900F7"/>
    <w:rsid w:val="00B93DCD"/>
    <w:rsid w:val="00B95ED0"/>
    <w:rsid w:val="00BA6035"/>
    <w:rsid w:val="00BB2D36"/>
    <w:rsid w:val="00BB2DB2"/>
    <w:rsid w:val="00BC188C"/>
    <w:rsid w:val="00BC1B8C"/>
    <w:rsid w:val="00BC4435"/>
    <w:rsid w:val="00BD236B"/>
    <w:rsid w:val="00BD50A3"/>
    <w:rsid w:val="00BE1700"/>
    <w:rsid w:val="00BE20A5"/>
    <w:rsid w:val="00BF25B3"/>
    <w:rsid w:val="00BF47B0"/>
    <w:rsid w:val="00C00D1B"/>
    <w:rsid w:val="00C03AAA"/>
    <w:rsid w:val="00C03D1F"/>
    <w:rsid w:val="00C13B7C"/>
    <w:rsid w:val="00C20889"/>
    <w:rsid w:val="00C22A1A"/>
    <w:rsid w:val="00C23BDD"/>
    <w:rsid w:val="00C30952"/>
    <w:rsid w:val="00C51A69"/>
    <w:rsid w:val="00C53074"/>
    <w:rsid w:val="00C56F40"/>
    <w:rsid w:val="00C63019"/>
    <w:rsid w:val="00C63B75"/>
    <w:rsid w:val="00C714F1"/>
    <w:rsid w:val="00C72F35"/>
    <w:rsid w:val="00C805C6"/>
    <w:rsid w:val="00C87A72"/>
    <w:rsid w:val="00C90D7F"/>
    <w:rsid w:val="00C91530"/>
    <w:rsid w:val="00C95861"/>
    <w:rsid w:val="00CA32C1"/>
    <w:rsid w:val="00CA4B58"/>
    <w:rsid w:val="00CB2CAD"/>
    <w:rsid w:val="00CC5183"/>
    <w:rsid w:val="00CD0CBF"/>
    <w:rsid w:val="00CD4AA0"/>
    <w:rsid w:val="00CF51AC"/>
    <w:rsid w:val="00D175EF"/>
    <w:rsid w:val="00D17770"/>
    <w:rsid w:val="00D22F83"/>
    <w:rsid w:val="00D23328"/>
    <w:rsid w:val="00D260A4"/>
    <w:rsid w:val="00D3273E"/>
    <w:rsid w:val="00D33EA1"/>
    <w:rsid w:val="00D34370"/>
    <w:rsid w:val="00D60BD6"/>
    <w:rsid w:val="00D64E81"/>
    <w:rsid w:val="00D84D35"/>
    <w:rsid w:val="00D90A89"/>
    <w:rsid w:val="00D90B2B"/>
    <w:rsid w:val="00D9554B"/>
    <w:rsid w:val="00DA13BA"/>
    <w:rsid w:val="00DA78C8"/>
    <w:rsid w:val="00DB342F"/>
    <w:rsid w:val="00DB3B5F"/>
    <w:rsid w:val="00DB3CA0"/>
    <w:rsid w:val="00DC0068"/>
    <w:rsid w:val="00DC42FC"/>
    <w:rsid w:val="00DD463C"/>
    <w:rsid w:val="00DD7DF9"/>
    <w:rsid w:val="00DE0465"/>
    <w:rsid w:val="00DE658C"/>
    <w:rsid w:val="00DF5430"/>
    <w:rsid w:val="00E0241C"/>
    <w:rsid w:val="00E078FD"/>
    <w:rsid w:val="00E21519"/>
    <w:rsid w:val="00E24AF0"/>
    <w:rsid w:val="00E30B5D"/>
    <w:rsid w:val="00E350F6"/>
    <w:rsid w:val="00E36C89"/>
    <w:rsid w:val="00E36D8E"/>
    <w:rsid w:val="00E4267E"/>
    <w:rsid w:val="00E46CBF"/>
    <w:rsid w:val="00E5127F"/>
    <w:rsid w:val="00E55D82"/>
    <w:rsid w:val="00E56DD1"/>
    <w:rsid w:val="00E57927"/>
    <w:rsid w:val="00E6603A"/>
    <w:rsid w:val="00E71E7E"/>
    <w:rsid w:val="00E80972"/>
    <w:rsid w:val="00E81510"/>
    <w:rsid w:val="00E83365"/>
    <w:rsid w:val="00E86B6D"/>
    <w:rsid w:val="00E93EB8"/>
    <w:rsid w:val="00E9564D"/>
    <w:rsid w:val="00EA4145"/>
    <w:rsid w:val="00EA7BD9"/>
    <w:rsid w:val="00EB34B8"/>
    <w:rsid w:val="00ED12D5"/>
    <w:rsid w:val="00ED654A"/>
    <w:rsid w:val="00ED6718"/>
    <w:rsid w:val="00EF1292"/>
    <w:rsid w:val="00EF1BBB"/>
    <w:rsid w:val="00EF39FF"/>
    <w:rsid w:val="00F1649F"/>
    <w:rsid w:val="00F17528"/>
    <w:rsid w:val="00F22DFB"/>
    <w:rsid w:val="00F2734B"/>
    <w:rsid w:val="00F31D20"/>
    <w:rsid w:val="00F34EF2"/>
    <w:rsid w:val="00F357DC"/>
    <w:rsid w:val="00F37543"/>
    <w:rsid w:val="00F42F5E"/>
    <w:rsid w:val="00F45B3B"/>
    <w:rsid w:val="00F520BD"/>
    <w:rsid w:val="00F54D6F"/>
    <w:rsid w:val="00F60067"/>
    <w:rsid w:val="00F71E1F"/>
    <w:rsid w:val="00F773B7"/>
    <w:rsid w:val="00F77E65"/>
    <w:rsid w:val="00F80C56"/>
    <w:rsid w:val="00F815DD"/>
    <w:rsid w:val="00F85F55"/>
    <w:rsid w:val="00F90741"/>
    <w:rsid w:val="00FA04B7"/>
    <w:rsid w:val="00FA5685"/>
    <w:rsid w:val="00FC15B6"/>
    <w:rsid w:val="00FD340E"/>
    <w:rsid w:val="00FD7BD0"/>
    <w:rsid w:val="00FE7A36"/>
    <w:rsid w:val="00FF4B0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3A846"/>
  <w15:chartTrackingRefBased/>
  <w15:docId w15:val="{8140FA06-3F26-47AA-8BC9-1C7C612B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A5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FA0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FA04B7"/>
    <w:rPr>
      <w:color w:val="0000FF"/>
      <w:u w:val="single"/>
    </w:rPr>
  </w:style>
  <w:style w:type="character" w:styleId="Mencinsinresolver">
    <w:name w:val="Unresolved Mention"/>
    <w:basedOn w:val="Fuentedeprrafopredeter"/>
    <w:uiPriority w:val="99"/>
    <w:semiHidden/>
    <w:unhideWhenUsed/>
    <w:rsid w:val="00F80C56"/>
    <w:rPr>
      <w:color w:val="605E5C"/>
      <w:shd w:val="clear" w:color="auto" w:fill="E1DFDD"/>
    </w:rPr>
  </w:style>
  <w:style w:type="paragraph" w:styleId="Encabezado">
    <w:name w:val="header"/>
    <w:basedOn w:val="Normal"/>
    <w:link w:val="EncabezadoCar"/>
    <w:uiPriority w:val="99"/>
    <w:unhideWhenUsed/>
    <w:rsid w:val="00496F1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496F17"/>
  </w:style>
  <w:style w:type="paragraph" w:styleId="Piedepgina">
    <w:name w:val="footer"/>
    <w:basedOn w:val="Normal"/>
    <w:link w:val="PiedepginaCar"/>
    <w:uiPriority w:val="99"/>
    <w:unhideWhenUsed/>
    <w:rsid w:val="00496F1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96F17"/>
  </w:style>
  <w:style w:type="character" w:styleId="Hipervnculovisitado">
    <w:name w:val="FollowedHyperlink"/>
    <w:basedOn w:val="Fuentedeprrafopredeter"/>
    <w:uiPriority w:val="99"/>
    <w:semiHidden/>
    <w:unhideWhenUsed/>
    <w:rsid w:val="00DD463C"/>
    <w:rPr>
      <w:color w:val="954F72" w:themeColor="followedHyperlink"/>
      <w:u w:val="single"/>
    </w:rPr>
  </w:style>
  <w:style w:type="character" w:styleId="Refdecomentario">
    <w:name w:val="annotation reference"/>
    <w:basedOn w:val="Fuentedeprrafopredeter"/>
    <w:uiPriority w:val="99"/>
    <w:semiHidden/>
    <w:unhideWhenUsed/>
    <w:rsid w:val="00AF11DD"/>
    <w:rPr>
      <w:sz w:val="16"/>
      <w:szCs w:val="16"/>
    </w:rPr>
  </w:style>
  <w:style w:type="paragraph" w:styleId="Textocomentario">
    <w:name w:val="annotation text"/>
    <w:basedOn w:val="Normal"/>
    <w:link w:val="TextocomentarioCar"/>
    <w:uiPriority w:val="99"/>
    <w:semiHidden/>
    <w:unhideWhenUsed/>
    <w:rsid w:val="00AF11DD"/>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F11DD"/>
    <w:rPr>
      <w:sz w:val="20"/>
      <w:szCs w:val="20"/>
    </w:rPr>
  </w:style>
  <w:style w:type="paragraph" w:styleId="Asuntodelcomentario">
    <w:name w:val="annotation subject"/>
    <w:basedOn w:val="Textocomentario"/>
    <w:next w:val="Textocomentario"/>
    <w:link w:val="AsuntodelcomentarioCar"/>
    <w:uiPriority w:val="99"/>
    <w:semiHidden/>
    <w:unhideWhenUsed/>
    <w:rsid w:val="00AF11DD"/>
    <w:rPr>
      <w:b/>
      <w:bCs/>
    </w:rPr>
  </w:style>
  <w:style w:type="character" w:customStyle="1" w:styleId="AsuntodelcomentarioCar">
    <w:name w:val="Asunto del comentario Car"/>
    <w:basedOn w:val="TextocomentarioCar"/>
    <w:link w:val="Asuntodelcomentario"/>
    <w:uiPriority w:val="99"/>
    <w:semiHidden/>
    <w:rsid w:val="00AF11DD"/>
    <w:rPr>
      <w:b/>
      <w:bCs/>
      <w:sz w:val="20"/>
      <w:szCs w:val="20"/>
    </w:rPr>
  </w:style>
  <w:style w:type="paragraph" w:styleId="Revisin">
    <w:name w:val="Revision"/>
    <w:hidden/>
    <w:uiPriority w:val="99"/>
    <w:semiHidden/>
    <w:rsid w:val="00AF11DD"/>
    <w:pPr>
      <w:spacing w:after="0" w:line="240" w:lineRule="auto"/>
    </w:pPr>
  </w:style>
  <w:style w:type="paragraph" w:styleId="Textoindependiente">
    <w:name w:val="Body Text"/>
    <w:basedOn w:val="Normal"/>
    <w:link w:val="TextoindependienteCar"/>
    <w:uiPriority w:val="99"/>
    <w:unhideWhenUsed/>
    <w:rsid w:val="00992C76"/>
    <w:pPr>
      <w:spacing w:after="120"/>
    </w:pPr>
  </w:style>
  <w:style w:type="character" w:customStyle="1" w:styleId="TextoindependienteCar">
    <w:name w:val="Texto independiente Car"/>
    <w:basedOn w:val="Fuentedeprrafopredeter"/>
    <w:link w:val="Textoindependiente"/>
    <w:uiPriority w:val="99"/>
    <w:rsid w:val="00992C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13" Type="http://schemas.openxmlformats.org/officeDocument/2006/relationships/hyperlink" Target="https://www.boe.es/diario_boe/txt.php?id=BOE-A-2026-20823" TargetMode="External"/><Relationship Id="rId18" Type="http://schemas.openxmlformats.org/officeDocument/2006/relationships/hyperlink" Target="http://www.sedecatastro.gob.es/" TargetMode="External"/><Relationship Id="rId26" Type="http://schemas.openxmlformats.org/officeDocument/2006/relationships/hyperlink" Target="https://www.boe.es/buscar/act.php?id=BOE-A-2023-12203&amp;p=20261007&amp;tn=1" TargetMode="External"/><Relationship Id="rId3" Type="http://schemas.openxmlformats.org/officeDocument/2006/relationships/settings" Target="settings.xml"/><Relationship Id="rId21" Type="http://schemas.openxmlformats.org/officeDocument/2006/relationships/hyperlink" Target="https://catastroalava.tracasa.es/" TargetMode="External"/><Relationship Id="rId7" Type="http://schemas.openxmlformats.org/officeDocument/2006/relationships/hyperlink" Target="http://www.oviedonotaria.com" TargetMode="External"/><Relationship Id="rId12" Type="http://schemas.openxmlformats.org/officeDocument/2006/relationships/hyperlink" Target="https://www.boe.es/buscar/act.php?id=BOE-A-2023-12203&amp;p=20261007&amp;tn=1" TargetMode="External"/><Relationship Id="rId17" Type="http://schemas.openxmlformats.org/officeDocument/2006/relationships/hyperlink" Target="https://www.boe.es/diario_boe/txt.php?id=BOE-A-2026-20823" TargetMode="External"/><Relationship Id="rId25" Type="http://schemas.openxmlformats.org/officeDocument/2006/relationships/hyperlink" Target="https://www.boe.es/diario_boe/txt.php?id=BOE-A-2026-20823"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boe.es/buscar/act.php?id=BOE-A-2023-12203&amp;p=20261007&amp;tn=1" TargetMode="External"/><Relationship Id="rId20" Type="http://schemas.openxmlformats.org/officeDocument/2006/relationships/hyperlink" Target="http://www.bizkaia.eus/es/catastro-de-bizkaia" TargetMode="External"/><Relationship Id="rId29" Type="http://schemas.openxmlformats.org/officeDocument/2006/relationships/hyperlink" Target="https://noticias.juridicas.com/base_datos/CCAA/538599-decreto-legislativo-2-2014-de-22-de-octubre-por-el-que-se-aprueba-el-texto.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oe.es/buscar/act.php?id=BOE-A-2023-12203&amp;p=20261007&amp;tn=1" TargetMode="External"/><Relationship Id="rId24" Type="http://schemas.openxmlformats.org/officeDocument/2006/relationships/hyperlink" Target="https://www.boe.es/diario_boe/txt.php?id=BOE-A-2026-20823"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noticias.juridicas.com/base_datos/Privado/rd716-2009.html" TargetMode="External"/><Relationship Id="rId23" Type="http://schemas.openxmlformats.org/officeDocument/2006/relationships/hyperlink" Target="https://www.boe.es/diario_boe/txt.php?id=BOE-A-2026-20823" TargetMode="External"/><Relationship Id="rId28" Type="http://schemas.openxmlformats.org/officeDocument/2006/relationships/hyperlink" Target="https://www.boe.es/diario_boe/txt.php?id=BOE-A-2026-16532" TargetMode="External"/><Relationship Id="rId10" Type="http://schemas.openxmlformats.org/officeDocument/2006/relationships/hyperlink" Target="https://www.boe.es/buscar/doc.php?id=BOE-A-2026-20526" TargetMode="External"/><Relationship Id="rId19" Type="http://schemas.openxmlformats.org/officeDocument/2006/relationships/hyperlink" Target="http://www.navarra.es/es/hacienda/riqueza-territorial"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boe.es/diario_boe/txt.php?id=BOE-A-2026-20266" TargetMode="External"/><Relationship Id="rId14" Type="http://schemas.openxmlformats.org/officeDocument/2006/relationships/hyperlink" Target="https://sede.registradores.org/sede/sede-corpme-web/registro-de-la-propiedad/publicidad/certificaciones" TargetMode="External"/><Relationship Id="rId22" Type="http://schemas.openxmlformats.org/officeDocument/2006/relationships/hyperlink" Target="https://ssl7.gipuzkoa.net/OgasunaNet/Catastro/porDP.asp" TargetMode="External"/><Relationship Id="rId27" Type="http://schemas.openxmlformats.org/officeDocument/2006/relationships/hyperlink" Target="www.oviedonotaria.com" TargetMode="External"/><Relationship Id="rId30" Type="http://schemas.openxmlformats.org/officeDocument/2006/relationships/hyperlink" Target="https://www.boe.es/diario_boe/txt.php?id=BOE-A-2026-20823" TargetMode="External"/><Relationship Id="rId8" Type="http://schemas.openxmlformats.org/officeDocument/2006/relationships/hyperlink" Target="https://www.boe.es/diario_boe/txt.php?id=BOE-A-2026-20823"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lantillas\NoNotarial.do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NoNotarial.dotm</Template>
  <TotalTime>1260</TotalTime>
  <Pages>7</Pages>
  <Words>3798</Words>
  <Characters>21881</Characters>
  <Application>Microsoft Office Word</Application>
  <DocSecurity>0</DocSecurity>
  <Lines>486</Lines>
  <Paragraphs>229</Paragraphs>
  <ScaleCrop>false</ScaleCrop>
  <HeadingPairs>
    <vt:vector size="2" baseType="variant">
      <vt:variant>
        <vt:lpstr>Título</vt:lpstr>
      </vt:variant>
      <vt:variant>
        <vt:i4>1</vt:i4>
      </vt:variant>
    </vt:vector>
  </HeadingPairs>
  <TitlesOfParts>
    <vt:vector size="1" baseType="lpstr">
      <vt:lpstr/>
    </vt:vector>
  </TitlesOfParts>
  <Company>http://www.centor.mx.gd</Company>
  <LinksUpToDate>false</LinksUpToDate>
  <CharactersWithSpaces>25450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dvicente</dc:creator>
  <cp:keywords/>
  <dc:description/>
  <cp:lastModifiedBy>Vicente Martorell</cp:lastModifiedBy>
  <cp:revision>353</cp:revision>
  <cp:lastPrinted>2026-10-08T17:15:00Z</cp:lastPrinted>
  <dcterms:created xsi:type="dcterms:W3CDTF">2026-10-07T09:40:00Z</dcterms:created>
  <dcterms:modified xsi:type="dcterms:W3CDTF">2026-10-20T16:53:00Z</dcterms:modified>
</cp:coreProperties>
</file>