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8F682" w14:textId="77777777" w:rsidR="00EE1145" w:rsidRDefault="00EE1145" w:rsidP="00D518AF">
      <w:pPr>
        <w:tabs>
          <w:tab w:val="left" w:pos="1560"/>
        </w:tabs>
        <w:spacing w:line="280" w:lineRule="atLeast"/>
        <w:ind w:right="-336"/>
        <w:jc w:val="both"/>
        <w:rPr>
          <w:rFonts w:ascii="Bookman Old Style" w:hAnsi="Bookman Old Style" w:cs="Arial"/>
          <w:sz w:val="30"/>
          <w:szCs w:val="30"/>
          <w:vertAlign w:val="superscript"/>
          <w:lang w:val="es-ES"/>
        </w:rPr>
      </w:pPr>
      <w:r>
        <w:rPr>
          <w:b/>
          <w:spacing w:val="6"/>
          <w:sz w:val="30"/>
          <w:szCs w:val="30"/>
        </w:rPr>
        <w:t>VARIACIONES FISCALES ASTURIA</w:t>
      </w:r>
      <w:r w:rsidR="00AC274B">
        <w:rPr>
          <w:b/>
          <w:spacing w:val="6"/>
          <w:sz w:val="30"/>
          <w:szCs w:val="30"/>
        </w:rPr>
        <w:t>NAS EN LA OPERATIVA NOTARIAL 202</w:t>
      </w:r>
      <w:r w:rsidR="00927B5F">
        <w:rPr>
          <w:b/>
          <w:spacing w:val="6"/>
          <w:sz w:val="30"/>
          <w:szCs w:val="30"/>
        </w:rPr>
        <w:t>6</w:t>
      </w:r>
    </w:p>
    <w:p w14:paraId="79F5A62D" w14:textId="77777777" w:rsidR="00EE1145" w:rsidRDefault="00EE1145">
      <w:pPr>
        <w:spacing w:line="280" w:lineRule="atLeast"/>
        <w:jc w:val="both"/>
        <w:rPr>
          <w:spacing w:val="6"/>
          <w:sz w:val="26"/>
          <w:szCs w:val="26"/>
        </w:rPr>
      </w:pPr>
      <w:r>
        <w:rPr>
          <w:b/>
          <w:i/>
          <w:spacing w:val="6"/>
          <w:sz w:val="26"/>
          <w:szCs w:val="26"/>
        </w:rPr>
        <w:t>Vicente Martorell. Notario de Oviedo</w:t>
      </w:r>
    </w:p>
    <w:p w14:paraId="5FF4FB17" w14:textId="77777777" w:rsidR="00EE1145" w:rsidRDefault="00EE1145">
      <w:pPr>
        <w:spacing w:line="280" w:lineRule="atLeast"/>
        <w:jc w:val="both"/>
        <w:rPr>
          <w:b/>
          <w:i/>
          <w:spacing w:val="6"/>
          <w:sz w:val="26"/>
          <w:szCs w:val="26"/>
        </w:rPr>
      </w:pPr>
    </w:p>
    <w:p w14:paraId="54518D2D" w14:textId="77777777" w:rsidR="00AF3040" w:rsidRDefault="00AF3040">
      <w:pPr>
        <w:spacing w:line="280" w:lineRule="atLeast"/>
        <w:jc w:val="both"/>
        <w:rPr>
          <w:b/>
          <w:i/>
          <w:spacing w:val="6"/>
          <w:sz w:val="26"/>
          <w:szCs w:val="26"/>
        </w:rPr>
      </w:pPr>
    </w:p>
    <w:p w14:paraId="57A1DFCC" w14:textId="77777777" w:rsidR="00C74082" w:rsidRDefault="00C74082">
      <w:pPr>
        <w:spacing w:line="280" w:lineRule="atLeast"/>
        <w:jc w:val="both"/>
        <w:rPr>
          <w:b/>
          <w:i/>
          <w:spacing w:val="6"/>
          <w:sz w:val="26"/>
          <w:szCs w:val="26"/>
        </w:rPr>
      </w:pPr>
    </w:p>
    <w:p w14:paraId="1DC4E43E" w14:textId="77777777" w:rsidR="00E161B6" w:rsidRDefault="00E161B6">
      <w:pPr>
        <w:spacing w:line="280" w:lineRule="atLeast"/>
        <w:jc w:val="both"/>
        <w:rPr>
          <w:b/>
          <w:i/>
          <w:spacing w:val="6"/>
          <w:sz w:val="26"/>
          <w:szCs w:val="26"/>
        </w:rPr>
      </w:pPr>
    </w:p>
    <w:p w14:paraId="111E73D8" w14:textId="77777777" w:rsidR="00EE1145" w:rsidRDefault="00EE1145">
      <w:pPr>
        <w:spacing w:line="280" w:lineRule="atLeast"/>
        <w:jc w:val="both"/>
        <w:rPr>
          <w:b/>
          <w:i/>
          <w:spacing w:val="6"/>
          <w:sz w:val="26"/>
          <w:szCs w:val="26"/>
        </w:rPr>
      </w:pPr>
    </w:p>
    <w:p w14:paraId="584ED532" w14:textId="77777777" w:rsidR="00EE1145" w:rsidRDefault="00EE1145" w:rsidP="00C854F8">
      <w:pPr>
        <w:numPr>
          <w:ilvl w:val="0"/>
          <w:numId w:val="18"/>
        </w:numPr>
        <w:tabs>
          <w:tab w:val="clear" w:pos="360"/>
          <w:tab w:val="num" w:pos="0"/>
        </w:tabs>
        <w:spacing w:line="280" w:lineRule="atLeast"/>
        <w:jc w:val="both"/>
        <w:rPr>
          <w:b/>
          <w:spacing w:val="6"/>
          <w:sz w:val="22"/>
          <w:szCs w:val="22"/>
        </w:rPr>
      </w:pPr>
      <w:hyperlink w:anchor="A" w:history="1">
        <w:r>
          <w:rPr>
            <w:rStyle w:val="Hipervnculo"/>
            <w:b/>
            <w:spacing w:val="6"/>
            <w:sz w:val="22"/>
            <w:szCs w:val="22"/>
          </w:rPr>
          <w:t>INTRODUCCIÓN</w:t>
        </w:r>
      </w:hyperlink>
    </w:p>
    <w:p w14:paraId="6355D40D" w14:textId="77777777" w:rsidR="00372D2E" w:rsidRDefault="00372D2E" w:rsidP="00C854F8">
      <w:pPr>
        <w:numPr>
          <w:ilvl w:val="1"/>
          <w:numId w:val="18"/>
        </w:numPr>
        <w:spacing w:line="280" w:lineRule="atLeast"/>
        <w:jc w:val="both"/>
        <w:rPr>
          <w:b/>
          <w:spacing w:val="6"/>
          <w:sz w:val="22"/>
          <w:szCs w:val="22"/>
        </w:rPr>
      </w:pPr>
      <w:hyperlink w:anchor="warnings" w:history="1">
        <w:r w:rsidRPr="00484092">
          <w:rPr>
            <w:rStyle w:val="Hipervnculo"/>
            <w:b/>
            <w:spacing w:val="6"/>
            <w:sz w:val="22"/>
            <w:szCs w:val="22"/>
          </w:rPr>
          <w:t>Warnings!!!</w:t>
        </w:r>
      </w:hyperlink>
    </w:p>
    <w:p w14:paraId="6EB4DE59" w14:textId="77777777" w:rsidR="00580071" w:rsidRPr="00CF4325" w:rsidRDefault="00580071" w:rsidP="00C854F8">
      <w:pPr>
        <w:numPr>
          <w:ilvl w:val="2"/>
          <w:numId w:val="18"/>
        </w:numPr>
        <w:tabs>
          <w:tab w:val="clear" w:pos="1440"/>
          <w:tab w:val="num" w:pos="1276"/>
        </w:tabs>
        <w:spacing w:line="280" w:lineRule="atLeast"/>
        <w:jc w:val="both"/>
        <w:rPr>
          <w:b/>
          <w:spacing w:val="6"/>
          <w:sz w:val="22"/>
          <w:szCs w:val="22"/>
        </w:rPr>
      </w:pPr>
      <w:hyperlink w:anchor="Plazo111" w:history="1">
        <w:r w:rsidRPr="00FE0361">
          <w:rPr>
            <w:rStyle w:val="Hipervnculo"/>
            <w:b/>
            <w:spacing w:val="6"/>
            <w:sz w:val="22"/>
            <w:szCs w:val="22"/>
          </w:rPr>
          <w:t>Plazo presentación ITPyAJD e ISyD</w:t>
        </w:r>
      </w:hyperlink>
    </w:p>
    <w:p w14:paraId="159A502F" w14:textId="65D98DA4" w:rsidR="00CF4325" w:rsidRPr="00CF4325" w:rsidRDefault="00CF4325" w:rsidP="00C854F8">
      <w:pPr>
        <w:pStyle w:val="Prrafodelista"/>
        <w:numPr>
          <w:ilvl w:val="2"/>
          <w:numId w:val="18"/>
        </w:numPr>
        <w:tabs>
          <w:tab w:val="clear" w:pos="1440"/>
          <w:tab w:val="num" w:pos="1276"/>
        </w:tabs>
        <w:rPr>
          <w:b/>
          <w:spacing w:val="6"/>
          <w:sz w:val="22"/>
          <w:szCs w:val="22"/>
        </w:rPr>
      </w:pPr>
      <w:hyperlink w:anchor="Aplazamiento" w:history="1">
        <w:r w:rsidRPr="004B5D2A">
          <w:rPr>
            <w:rStyle w:val="Hipervnculo"/>
            <w:b/>
            <w:spacing w:val="6"/>
            <w:sz w:val="22"/>
            <w:szCs w:val="22"/>
          </w:rPr>
          <w:t>Aplazamiento y fraccionamiento desde 28/02/2026 a 30/06/2026</w:t>
        </w:r>
      </w:hyperlink>
    </w:p>
    <w:p w14:paraId="2BC2DE31" w14:textId="77777777" w:rsidR="00372D2E" w:rsidRDefault="00A87F2E" w:rsidP="00C854F8">
      <w:pPr>
        <w:numPr>
          <w:ilvl w:val="2"/>
          <w:numId w:val="18"/>
        </w:numPr>
        <w:tabs>
          <w:tab w:val="clear" w:pos="1440"/>
          <w:tab w:val="num" w:pos="1276"/>
        </w:tabs>
        <w:spacing w:line="280" w:lineRule="atLeast"/>
        <w:jc w:val="both"/>
        <w:rPr>
          <w:b/>
          <w:spacing w:val="6"/>
          <w:sz w:val="22"/>
          <w:szCs w:val="22"/>
        </w:rPr>
      </w:pPr>
      <w:hyperlink w:anchor="valoración111" w:history="1">
        <w:r>
          <w:rPr>
            <w:rStyle w:val="Hipervnculo"/>
            <w:b/>
            <w:spacing w:val="6"/>
            <w:sz w:val="22"/>
            <w:szCs w:val="22"/>
          </w:rPr>
          <w:t>Anterior v</w:t>
        </w:r>
        <w:r w:rsidR="00372D2E" w:rsidRPr="001A6DDB">
          <w:rPr>
            <w:rStyle w:val="Hipervnculo"/>
            <w:b/>
            <w:spacing w:val="6"/>
            <w:sz w:val="22"/>
            <w:szCs w:val="22"/>
          </w:rPr>
          <w:t>aloración por coeficientes</w:t>
        </w:r>
      </w:hyperlink>
    </w:p>
    <w:p w14:paraId="6DD2B9F7" w14:textId="77777777" w:rsidR="00372D2E" w:rsidRDefault="00FE5DFF" w:rsidP="00C854F8">
      <w:pPr>
        <w:numPr>
          <w:ilvl w:val="2"/>
          <w:numId w:val="18"/>
        </w:numPr>
        <w:tabs>
          <w:tab w:val="clear" w:pos="1440"/>
          <w:tab w:val="num" w:pos="1276"/>
        </w:tabs>
        <w:spacing w:line="280" w:lineRule="atLeast"/>
        <w:jc w:val="both"/>
        <w:rPr>
          <w:b/>
          <w:spacing w:val="6"/>
          <w:sz w:val="22"/>
          <w:szCs w:val="22"/>
        </w:rPr>
      </w:pPr>
      <w:hyperlink w:anchor="pasivo112" w:history="1">
        <w:r>
          <w:rPr>
            <w:rStyle w:val="Hipervnculo"/>
            <w:b/>
            <w:spacing w:val="6"/>
            <w:sz w:val="22"/>
            <w:szCs w:val="22"/>
          </w:rPr>
          <w:t>E</w:t>
        </w:r>
        <w:r w:rsidR="00372D2E" w:rsidRPr="006B0B55">
          <w:rPr>
            <w:rStyle w:val="Hipervnculo"/>
            <w:b/>
            <w:spacing w:val="6"/>
            <w:sz w:val="22"/>
            <w:szCs w:val="22"/>
          </w:rPr>
          <w:t>n los préstamos hipotecario</w:t>
        </w:r>
        <w:r w:rsidR="00C0327A">
          <w:rPr>
            <w:rStyle w:val="Hipervnculo"/>
            <w:b/>
            <w:spacing w:val="6"/>
            <w:sz w:val="22"/>
            <w:szCs w:val="22"/>
          </w:rPr>
          <w:t>s</w:t>
        </w:r>
        <w:r>
          <w:rPr>
            <w:rStyle w:val="Hipervnculo"/>
            <w:b/>
            <w:spacing w:val="6"/>
            <w:sz w:val="22"/>
            <w:szCs w:val="22"/>
          </w:rPr>
          <w:t xml:space="preserve"> el sujeto pasivo pasa a</w:t>
        </w:r>
        <w:r w:rsidR="00D66522">
          <w:rPr>
            <w:rStyle w:val="Hipervnculo"/>
            <w:b/>
            <w:spacing w:val="6"/>
            <w:sz w:val="22"/>
            <w:szCs w:val="22"/>
          </w:rPr>
          <w:t xml:space="preserve"> s</w:t>
        </w:r>
        <w:r>
          <w:rPr>
            <w:rStyle w:val="Hipervnculo"/>
            <w:b/>
            <w:spacing w:val="6"/>
            <w:sz w:val="22"/>
            <w:szCs w:val="22"/>
          </w:rPr>
          <w:t>er el prestamista</w:t>
        </w:r>
        <w:r w:rsidR="00E55556">
          <w:rPr>
            <w:rStyle w:val="Hipervnculo"/>
            <w:b/>
            <w:spacing w:val="6"/>
            <w:sz w:val="22"/>
            <w:szCs w:val="22"/>
          </w:rPr>
          <w:t xml:space="preserve"> (desde 10/11/2018) </w:t>
        </w:r>
        <w:r w:rsidR="00C0327A">
          <w:rPr>
            <w:rStyle w:val="Hipervnculo"/>
            <w:b/>
            <w:spacing w:val="6"/>
            <w:sz w:val="22"/>
            <w:szCs w:val="22"/>
          </w:rPr>
          <w:t xml:space="preserve"> y </w:t>
        </w:r>
        <w:r>
          <w:rPr>
            <w:rStyle w:val="Hipervnculo"/>
            <w:b/>
            <w:spacing w:val="6"/>
            <w:sz w:val="22"/>
            <w:szCs w:val="22"/>
          </w:rPr>
          <w:t>se incrementa el tipo asturiano</w:t>
        </w:r>
        <w:r w:rsidR="00C849F1">
          <w:rPr>
            <w:rStyle w:val="Hipervnculo"/>
            <w:b/>
            <w:spacing w:val="6"/>
            <w:sz w:val="22"/>
            <w:szCs w:val="22"/>
          </w:rPr>
          <w:t xml:space="preserve"> al 1,5</w:t>
        </w:r>
        <w:r w:rsidR="00E55556">
          <w:rPr>
            <w:rStyle w:val="Hipervnculo"/>
            <w:b/>
            <w:spacing w:val="6"/>
            <w:sz w:val="22"/>
            <w:szCs w:val="22"/>
          </w:rPr>
          <w:t>% (desde 01/01/2019)</w:t>
        </w:r>
      </w:hyperlink>
    </w:p>
    <w:p w14:paraId="48353376" w14:textId="77777777" w:rsidR="0009721A" w:rsidRDefault="0009721A" w:rsidP="00C854F8">
      <w:pPr>
        <w:numPr>
          <w:ilvl w:val="2"/>
          <w:numId w:val="18"/>
        </w:numPr>
        <w:tabs>
          <w:tab w:val="clear" w:pos="1440"/>
          <w:tab w:val="num" w:pos="1276"/>
        </w:tabs>
        <w:spacing w:line="280" w:lineRule="atLeast"/>
        <w:jc w:val="both"/>
        <w:rPr>
          <w:b/>
          <w:spacing w:val="6"/>
          <w:sz w:val="22"/>
          <w:szCs w:val="22"/>
        </w:rPr>
      </w:pPr>
      <w:hyperlink w:anchor="suspensión723" w:history="1">
        <w:r w:rsidRPr="00AA2A14">
          <w:rPr>
            <w:rStyle w:val="Hipervnculo"/>
            <w:b/>
            <w:spacing w:val="6"/>
            <w:sz w:val="22"/>
            <w:szCs w:val="22"/>
          </w:rPr>
          <w:t>Suspensión términos e interrupción plazo</w:t>
        </w:r>
        <w:r w:rsidR="00360D01" w:rsidRPr="00AA2A14">
          <w:rPr>
            <w:rStyle w:val="Hipervnculo"/>
            <w:b/>
            <w:spacing w:val="6"/>
            <w:sz w:val="22"/>
            <w:szCs w:val="22"/>
          </w:rPr>
          <w:t>s desde el 14/03/2020 hasta terminación</w:t>
        </w:r>
        <w:r w:rsidRPr="00AA2A14">
          <w:rPr>
            <w:rStyle w:val="Hipervnculo"/>
            <w:b/>
            <w:spacing w:val="6"/>
            <w:sz w:val="22"/>
            <w:szCs w:val="22"/>
          </w:rPr>
          <w:t xml:space="preserve"> alarma por COVID-19</w:t>
        </w:r>
      </w:hyperlink>
    </w:p>
    <w:p w14:paraId="3C042416" w14:textId="77777777" w:rsidR="00EE1145" w:rsidRDefault="00EE1145" w:rsidP="00C854F8">
      <w:pPr>
        <w:numPr>
          <w:ilvl w:val="1"/>
          <w:numId w:val="18"/>
        </w:numPr>
        <w:spacing w:line="280" w:lineRule="atLeast"/>
        <w:jc w:val="both"/>
        <w:rPr>
          <w:b/>
          <w:spacing w:val="6"/>
          <w:sz w:val="22"/>
          <w:szCs w:val="22"/>
        </w:rPr>
      </w:pPr>
      <w:hyperlink w:anchor="A1" w:history="1">
        <w:r>
          <w:rPr>
            <w:rStyle w:val="Hipervnculo"/>
            <w:b/>
            <w:spacing w:val="6"/>
            <w:sz w:val="22"/>
            <w:szCs w:val="22"/>
          </w:rPr>
          <w:t>Normativa fiscal asturiana:</w:t>
        </w:r>
      </w:hyperlink>
      <w:r>
        <w:rPr>
          <w:b/>
          <w:spacing w:val="6"/>
          <w:sz w:val="22"/>
          <w:szCs w:val="22"/>
        </w:rPr>
        <w:t xml:space="preserve"> </w:t>
      </w:r>
      <w:hyperlink r:id="rId7" w:history="1">
        <w:r w:rsidRPr="00DD1913">
          <w:rPr>
            <w:rStyle w:val="Hipervnculo"/>
            <w:b/>
            <w:bCs/>
            <w:spacing w:val="6"/>
            <w:sz w:val="22"/>
            <w:szCs w:val="22"/>
          </w:rPr>
          <w:t>Decreto-legislativo 2/2014</w:t>
        </w:r>
      </w:hyperlink>
    </w:p>
    <w:p w14:paraId="05E94141" w14:textId="77777777" w:rsidR="00EE1145" w:rsidRPr="00626A64" w:rsidRDefault="00E27C96" w:rsidP="00C854F8">
      <w:pPr>
        <w:numPr>
          <w:ilvl w:val="1"/>
          <w:numId w:val="18"/>
        </w:numPr>
        <w:spacing w:line="280" w:lineRule="atLeast"/>
        <w:jc w:val="both"/>
        <w:rPr>
          <w:b/>
          <w:spacing w:val="6"/>
          <w:sz w:val="22"/>
          <w:szCs w:val="22"/>
        </w:rPr>
      </w:pPr>
      <w:hyperlink w:history="1">
        <w:r w:rsidRPr="00462891">
          <w:rPr>
            <w:rStyle w:val="Hipervnculo"/>
            <w:b/>
            <w:spacing w:val="6"/>
            <w:sz w:val="22"/>
            <w:szCs w:val="22"/>
          </w:rPr>
          <w:t>Servicios Tributarios Principado de Asturias</w:t>
        </w:r>
      </w:hyperlink>
      <w:r w:rsidR="00EE1145">
        <w:rPr>
          <w:b/>
          <w:spacing w:val="6"/>
          <w:sz w:val="22"/>
          <w:szCs w:val="22"/>
        </w:rPr>
        <w:t>:</w:t>
      </w:r>
      <w:r w:rsidR="00EE1145" w:rsidRPr="00626A64">
        <w:rPr>
          <w:b/>
          <w:spacing w:val="6"/>
          <w:sz w:val="22"/>
          <w:szCs w:val="22"/>
        </w:rPr>
        <w:t xml:space="preserve"> </w:t>
      </w:r>
      <w:hyperlink r:id="rId8" w:history="1">
        <w:r w:rsidR="00EE1145" w:rsidRPr="00626A64">
          <w:rPr>
            <w:rStyle w:val="Hipervnculo"/>
            <w:b/>
            <w:spacing w:val="6"/>
            <w:sz w:val="22"/>
            <w:szCs w:val="22"/>
          </w:rPr>
          <w:t>www.tributasenasturias.es</w:t>
        </w:r>
      </w:hyperlink>
    </w:p>
    <w:p w14:paraId="6079053F" w14:textId="77777777" w:rsidR="00EE1145" w:rsidRDefault="00EE1145" w:rsidP="00C854F8">
      <w:pPr>
        <w:numPr>
          <w:ilvl w:val="1"/>
          <w:numId w:val="18"/>
        </w:numPr>
        <w:spacing w:line="280" w:lineRule="atLeast"/>
        <w:jc w:val="both"/>
        <w:rPr>
          <w:b/>
          <w:spacing w:val="6"/>
          <w:sz w:val="22"/>
          <w:szCs w:val="22"/>
        </w:rPr>
      </w:pPr>
      <w:hyperlink w:anchor="Telemáticas" w:history="1">
        <w:r>
          <w:rPr>
            <w:rStyle w:val="Hipervnculo"/>
            <w:b/>
            <w:spacing w:val="6"/>
            <w:sz w:val="22"/>
            <w:szCs w:val="22"/>
          </w:rPr>
          <w:t>Aplicaciones telemáticas fiscales en Asturias</w:t>
        </w:r>
      </w:hyperlink>
    </w:p>
    <w:p w14:paraId="1DCB294A" w14:textId="77777777" w:rsidR="00EE1145" w:rsidRDefault="00EE1145" w:rsidP="00C854F8">
      <w:pPr>
        <w:numPr>
          <w:ilvl w:val="2"/>
          <w:numId w:val="18"/>
        </w:numPr>
        <w:tabs>
          <w:tab w:val="clear" w:pos="1440"/>
          <w:tab w:val="num" w:pos="1276"/>
          <w:tab w:val="left" w:pos="1701"/>
        </w:tabs>
        <w:spacing w:line="280" w:lineRule="atLeast"/>
        <w:jc w:val="both"/>
        <w:rPr>
          <w:b/>
          <w:spacing w:val="6"/>
          <w:sz w:val="22"/>
          <w:szCs w:val="22"/>
        </w:rPr>
      </w:pPr>
      <w:hyperlink w:anchor="valoración" w:history="1">
        <w:r>
          <w:rPr>
            <w:rStyle w:val="Hipervnculo"/>
            <w:b/>
            <w:spacing w:val="6"/>
            <w:sz w:val="22"/>
            <w:szCs w:val="22"/>
          </w:rPr>
          <w:t>Valoració</w:t>
        </w:r>
        <w:r w:rsidR="001B2894">
          <w:rPr>
            <w:rStyle w:val="Hipervnculo"/>
            <w:b/>
            <w:spacing w:val="6"/>
            <w:sz w:val="22"/>
            <w:szCs w:val="22"/>
          </w:rPr>
          <w:t>n hasta 31 de diciembre de 202</w:t>
        </w:r>
        <w:r w:rsidR="00FF7CB8">
          <w:rPr>
            <w:rStyle w:val="Hipervnculo"/>
            <w:b/>
            <w:spacing w:val="6"/>
            <w:sz w:val="22"/>
            <w:szCs w:val="22"/>
          </w:rPr>
          <w:t>1: valor real</w:t>
        </w:r>
      </w:hyperlink>
    </w:p>
    <w:p w14:paraId="15FBC8D6" w14:textId="77777777" w:rsidR="00E91CAB" w:rsidRDefault="00E91CAB" w:rsidP="00C854F8">
      <w:pPr>
        <w:numPr>
          <w:ilvl w:val="2"/>
          <w:numId w:val="18"/>
        </w:numPr>
        <w:tabs>
          <w:tab w:val="clear" w:pos="1440"/>
          <w:tab w:val="num" w:pos="1276"/>
          <w:tab w:val="left" w:pos="1701"/>
        </w:tabs>
        <w:spacing w:line="280" w:lineRule="atLeast"/>
        <w:jc w:val="both"/>
        <w:rPr>
          <w:b/>
          <w:spacing w:val="6"/>
          <w:sz w:val="22"/>
          <w:szCs w:val="22"/>
        </w:rPr>
      </w:pPr>
      <w:hyperlink w:anchor="valorderefencia" w:history="1">
        <w:r w:rsidRPr="00E900B4">
          <w:rPr>
            <w:rStyle w:val="Hipervnculo"/>
            <w:b/>
            <w:spacing w:val="6"/>
            <w:sz w:val="22"/>
            <w:szCs w:val="22"/>
          </w:rPr>
          <w:t>Valoración desde 1 de enero de 2022</w:t>
        </w:r>
        <w:r w:rsidR="00FF7CB8" w:rsidRPr="00E900B4">
          <w:rPr>
            <w:rStyle w:val="Hipervnculo"/>
            <w:b/>
            <w:spacing w:val="6"/>
            <w:sz w:val="22"/>
            <w:szCs w:val="22"/>
          </w:rPr>
          <w:t>: valor de referencia</w:t>
        </w:r>
      </w:hyperlink>
    </w:p>
    <w:p w14:paraId="7754821F" w14:textId="77777777" w:rsidR="00EE1145" w:rsidRDefault="00EE1145" w:rsidP="00C854F8">
      <w:pPr>
        <w:numPr>
          <w:ilvl w:val="2"/>
          <w:numId w:val="18"/>
        </w:numPr>
        <w:tabs>
          <w:tab w:val="clear" w:pos="1440"/>
          <w:tab w:val="num" w:pos="1276"/>
          <w:tab w:val="left" w:pos="1701"/>
        </w:tabs>
        <w:spacing w:line="280" w:lineRule="atLeast"/>
        <w:jc w:val="both"/>
        <w:rPr>
          <w:b/>
          <w:spacing w:val="6"/>
          <w:sz w:val="22"/>
          <w:szCs w:val="22"/>
        </w:rPr>
      </w:pPr>
      <w:hyperlink w:anchor="Liquidación" w:history="1">
        <w:r w:rsidRPr="004E49B4">
          <w:rPr>
            <w:rStyle w:val="Hipervnculo"/>
            <w:b/>
            <w:spacing w:val="6"/>
            <w:sz w:val="22"/>
            <w:szCs w:val="22"/>
          </w:rPr>
          <w:t>Liquidación</w:t>
        </w:r>
      </w:hyperlink>
      <w:r w:rsidR="00153AA1">
        <w:rPr>
          <w:b/>
          <w:spacing w:val="6"/>
          <w:sz w:val="22"/>
          <w:szCs w:val="22"/>
        </w:rPr>
        <w:tab/>
      </w:r>
    </w:p>
    <w:p w14:paraId="0010CAF0"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Información" w:history="1">
        <w:r>
          <w:rPr>
            <w:rStyle w:val="Hipervnculo"/>
            <w:b/>
            <w:spacing w:val="6"/>
            <w:sz w:val="22"/>
            <w:szCs w:val="22"/>
          </w:rPr>
          <w:t>Información</w:t>
        </w:r>
      </w:hyperlink>
    </w:p>
    <w:p w14:paraId="1F460D6A"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Tramitación" w:history="1">
        <w:r>
          <w:rPr>
            <w:rStyle w:val="Hipervnculo"/>
            <w:b/>
            <w:spacing w:val="6"/>
            <w:sz w:val="22"/>
            <w:szCs w:val="22"/>
          </w:rPr>
          <w:t>Tramitación</w:t>
        </w:r>
      </w:hyperlink>
    </w:p>
    <w:p w14:paraId="5D7D6623" w14:textId="77777777" w:rsidR="00EE1145" w:rsidRDefault="00EE1145" w:rsidP="00C854F8">
      <w:pPr>
        <w:numPr>
          <w:ilvl w:val="1"/>
          <w:numId w:val="18"/>
        </w:numPr>
        <w:spacing w:line="280" w:lineRule="atLeast"/>
        <w:jc w:val="both"/>
        <w:rPr>
          <w:b/>
          <w:spacing w:val="6"/>
          <w:sz w:val="22"/>
          <w:szCs w:val="22"/>
        </w:rPr>
      </w:pPr>
      <w:hyperlink w:anchor="Formayplazo" w:history="1">
        <w:r>
          <w:rPr>
            <w:rStyle w:val="Hipervnculo"/>
            <w:b/>
            <w:spacing w:val="6"/>
            <w:sz w:val="22"/>
            <w:szCs w:val="22"/>
          </w:rPr>
          <w:t>Forma y plazo de solicitud de los beneficios fiscales asturianos</w:t>
        </w:r>
      </w:hyperlink>
    </w:p>
    <w:p w14:paraId="2EC430E5" w14:textId="77777777" w:rsidR="00EE1145" w:rsidRDefault="00EE1145" w:rsidP="00C854F8">
      <w:pPr>
        <w:numPr>
          <w:ilvl w:val="1"/>
          <w:numId w:val="18"/>
        </w:numPr>
        <w:spacing w:after="120" w:line="280" w:lineRule="atLeast"/>
        <w:ind w:left="788" w:hanging="431"/>
        <w:jc w:val="both"/>
        <w:rPr>
          <w:b/>
          <w:spacing w:val="6"/>
          <w:sz w:val="22"/>
          <w:szCs w:val="22"/>
        </w:rPr>
      </w:pPr>
      <w:hyperlink w:anchor="A5nuevo" w:history="1">
        <w:r>
          <w:rPr>
            <w:rStyle w:val="Hipervnculo"/>
            <w:b/>
            <w:spacing w:val="6"/>
            <w:sz w:val="22"/>
            <w:szCs w:val="22"/>
          </w:rPr>
          <w:t>Régimen asturiano de la unión de hecho:</w:t>
        </w:r>
      </w:hyperlink>
      <w:r>
        <w:rPr>
          <w:b/>
          <w:spacing w:val="6"/>
          <w:sz w:val="22"/>
          <w:szCs w:val="22"/>
        </w:rPr>
        <w:t xml:space="preserve"> </w:t>
      </w:r>
      <w:hyperlink r:id="rId9" w:history="1">
        <w:r>
          <w:rPr>
            <w:rStyle w:val="Hipervnculo"/>
            <w:b/>
            <w:bCs/>
            <w:spacing w:val="6"/>
            <w:sz w:val="22"/>
            <w:szCs w:val="22"/>
          </w:rPr>
          <w:t>Ley 4/2002</w:t>
        </w:r>
      </w:hyperlink>
    </w:p>
    <w:p w14:paraId="37949569" w14:textId="77777777" w:rsidR="00EE1145" w:rsidRDefault="00EE1145" w:rsidP="00C854F8">
      <w:pPr>
        <w:numPr>
          <w:ilvl w:val="0"/>
          <w:numId w:val="18"/>
        </w:numPr>
        <w:spacing w:line="280" w:lineRule="atLeast"/>
        <w:jc w:val="both"/>
        <w:rPr>
          <w:b/>
          <w:spacing w:val="6"/>
          <w:sz w:val="22"/>
          <w:szCs w:val="22"/>
        </w:rPr>
      </w:pPr>
      <w:hyperlink w:anchor="B" w:history="1">
        <w:r>
          <w:rPr>
            <w:rStyle w:val="Hipervnculo"/>
            <w:b/>
            <w:spacing w:val="6"/>
            <w:sz w:val="22"/>
            <w:szCs w:val="22"/>
          </w:rPr>
          <w:t>IMPUESTO SOBRE TRANSMISIONES PATRIMONIALES Y ACTOS JURÍDICOS DOCUMENTADOS</w:t>
        </w:r>
      </w:hyperlink>
    </w:p>
    <w:p w14:paraId="5A34BD47" w14:textId="77777777" w:rsidR="00EE1145" w:rsidRDefault="00EE1145" w:rsidP="00C854F8">
      <w:pPr>
        <w:numPr>
          <w:ilvl w:val="1"/>
          <w:numId w:val="18"/>
        </w:numPr>
        <w:spacing w:line="280" w:lineRule="atLeast"/>
        <w:jc w:val="both"/>
        <w:rPr>
          <w:b/>
          <w:spacing w:val="6"/>
          <w:sz w:val="22"/>
          <w:szCs w:val="22"/>
        </w:rPr>
      </w:pPr>
      <w:hyperlink w:anchor="tiposgenerales" w:history="1">
        <w:r>
          <w:rPr>
            <w:rStyle w:val="Hipervnculo"/>
            <w:b/>
            <w:spacing w:val="6"/>
            <w:sz w:val="22"/>
            <w:szCs w:val="22"/>
          </w:rPr>
          <w:t>Tipos generales asturianos del 8% (hasta 300.000 €), 9% (entre 300.001 y 500.000 €) y 10% (lo que exceda) en TPO inmobiliarias, del 4% en TPO mobiliarias</w:t>
        </w:r>
        <w:r w:rsidR="00D30499">
          <w:rPr>
            <w:rStyle w:val="Hipervnculo"/>
            <w:b/>
            <w:spacing w:val="6"/>
            <w:sz w:val="22"/>
            <w:szCs w:val="22"/>
          </w:rPr>
          <w:t xml:space="preserve">, </w:t>
        </w:r>
        <w:r>
          <w:rPr>
            <w:rStyle w:val="Hipervnculo"/>
            <w:b/>
            <w:spacing w:val="6"/>
            <w:sz w:val="22"/>
            <w:szCs w:val="22"/>
          </w:rPr>
          <w:t>del 1,2% en AJ</w:t>
        </w:r>
        <w:r w:rsidR="00D30499">
          <w:rPr>
            <w:rStyle w:val="Hipervnculo"/>
            <w:b/>
            <w:spacing w:val="6"/>
            <w:sz w:val="22"/>
            <w:szCs w:val="22"/>
          </w:rPr>
          <w:t>D general y del 1,5% en AJD préstamos hipotecarios</w:t>
        </w:r>
      </w:hyperlink>
    </w:p>
    <w:p w14:paraId="344E285B"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e211" w:history="1">
        <w:r>
          <w:rPr>
            <w:rStyle w:val="Hipervnculo"/>
            <w:b/>
            <w:spacing w:val="6"/>
            <w:sz w:val="22"/>
            <w:szCs w:val="22"/>
          </w:rPr>
          <w:t>Evolución legislativa</w:t>
        </w:r>
      </w:hyperlink>
    </w:p>
    <w:p w14:paraId="356F038D"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nOR212" w:history="1">
        <w:r>
          <w:rPr>
            <w:rStyle w:val="Hipervnculo"/>
            <w:b/>
            <w:spacing w:val="6"/>
            <w:sz w:val="22"/>
            <w:szCs w:val="22"/>
          </w:rPr>
          <w:t>Normativa vigente</w:t>
        </w:r>
      </w:hyperlink>
    </w:p>
    <w:p w14:paraId="7EE7FF8D" w14:textId="77777777" w:rsidR="00AF3040" w:rsidRDefault="00AF3040" w:rsidP="00C854F8">
      <w:pPr>
        <w:numPr>
          <w:ilvl w:val="2"/>
          <w:numId w:val="18"/>
        </w:numPr>
        <w:tabs>
          <w:tab w:val="clear" w:pos="1440"/>
          <w:tab w:val="num" w:pos="1276"/>
        </w:tabs>
        <w:spacing w:line="280" w:lineRule="atLeast"/>
        <w:jc w:val="both"/>
        <w:rPr>
          <w:b/>
          <w:spacing w:val="6"/>
          <w:sz w:val="22"/>
          <w:szCs w:val="22"/>
        </w:rPr>
      </w:pPr>
      <w:hyperlink w:anchor="cuadro213" w:history="1">
        <w:r w:rsidRPr="0069730A">
          <w:rPr>
            <w:rStyle w:val="Hipervnculo"/>
            <w:b/>
            <w:spacing w:val="6"/>
            <w:sz w:val="22"/>
            <w:szCs w:val="22"/>
          </w:rPr>
          <w:t>Cuadro inmobiliario</w:t>
        </w:r>
      </w:hyperlink>
    </w:p>
    <w:p w14:paraId="2543C16E" w14:textId="77777777" w:rsidR="008967EC" w:rsidRDefault="008967EC" w:rsidP="00C854F8">
      <w:pPr>
        <w:numPr>
          <w:ilvl w:val="2"/>
          <w:numId w:val="18"/>
        </w:numPr>
        <w:tabs>
          <w:tab w:val="clear" w:pos="1440"/>
          <w:tab w:val="num" w:pos="1276"/>
        </w:tabs>
        <w:spacing w:line="280" w:lineRule="atLeast"/>
        <w:jc w:val="both"/>
        <w:rPr>
          <w:b/>
          <w:spacing w:val="6"/>
          <w:sz w:val="22"/>
          <w:szCs w:val="22"/>
        </w:rPr>
      </w:pPr>
      <w:hyperlink w:anchor="interpretación" w:history="1">
        <w:r w:rsidRPr="00DB789B">
          <w:rPr>
            <w:rStyle w:val="Hipervnculo"/>
            <w:b/>
            <w:spacing w:val="6"/>
            <w:sz w:val="22"/>
            <w:szCs w:val="22"/>
          </w:rPr>
          <w:t>Interpretación ITPO inmuebles</w:t>
        </w:r>
      </w:hyperlink>
    </w:p>
    <w:p w14:paraId="33606085" w14:textId="77777777" w:rsidR="00BF5AE5" w:rsidRDefault="00BF5AE5" w:rsidP="00C854F8">
      <w:pPr>
        <w:numPr>
          <w:ilvl w:val="1"/>
          <w:numId w:val="18"/>
        </w:numPr>
        <w:spacing w:line="280" w:lineRule="atLeast"/>
        <w:jc w:val="both"/>
        <w:rPr>
          <w:b/>
          <w:spacing w:val="6"/>
          <w:sz w:val="22"/>
          <w:szCs w:val="22"/>
        </w:rPr>
      </w:pPr>
      <w:hyperlink w:anchor="incrementado22" w:history="1">
        <w:r w:rsidRPr="00853FA5">
          <w:rPr>
            <w:rStyle w:val="Hipervnculo"/>
            <w:b/>
            <w:spacing w:val="6"/>
            <w:sz w:val="22"/>
            <w:szCs w:val="22"/>
          </w:rPr>
          <w:t>Tipo incrementado del 20%</w:t>
        </w:r>
        <w:r w:rsidR="00C4224E" w:rsidRPr="00853FA5">
          <w:rPr>
            <w:rStyle w:val="Hipervnculo"/>
            <w:b/>
            <w:spacing w:val="6"/>
            <w:sz w:val="22"/>
            <w:szCs w:val="22"/>
          </w:rPr>
          <w:t xml:space="preserve"> en TPO</w:t>
        </w:r>
        <w:r w:rsidR="0051644C" w:rsidRPr="00853FA5">
          <w:rPr>
            <w:rStyle w:val="Hipervnculo"/>
            <w:b/>
            <w:spacing w:val="6"/>
            <w:sz w:val="22"/>
            <w:szCs w:val="22"/>
          </w:rPr>
          <w:t xml:space="preserve"> por adquisición de vivienda</w:t>
        </w:r>
        <w:r w:rsidR="00C4224E" w:rsidRPr="00853FA5">
          <w:rPr>
            <w:rStyle w:val="Hipervnculo"/>
            <w:b/>
            <w:spacing w:val="6"/>
            <w:sz w:val="22"/>
            <w:szCs w:val="22"/>
          </w:rPr>
          <w:t xml:space="preserve"> para grandes tenedores</w:t>
        </w:r>
        <w:r w:rsidRPr="00853FA5">
          <w:rPr>
            <w:rStyle w:val="Hipervnculo"/>
            <w:b/>
            <w:spacing w:val="6"/>
            <w:sz w:val="22"/>
            <w:szCs w:val="22"/>
          </w:rPr>
          <w:t xml:space="preserve"> (desde 03/12</w:t>
        </w:r>
        <w:r w:rsidR="00AE4B6A" w:rsidRPr="00853FA5">
          <w:rPr>
            <w:rStyle w:val="Hipervnculo"/>
            <w:b/>
            <w:spacing w:val="6"/>
            <w:sz w:val="22"/>
            <w:szCs w:val="22"/>
          </w:rPr>
          <w:t>/</w:t>
        </w:r>
        <w:r w:rsidRPr="00853FA5">
          <w:rPr>
            <w:rStyle w:val="Hipervnculo"/>
            <w:b/>
            <w:spacing w:val="6"/>
            <w:sz w:val="22"/>
            <w:szCs w:val="22"/>
          </w:rPr>
          <w:t>2025)</w:t>
        </w:r>
      </w:hyperlink>
    </w:p>
    <w:p w14:paraId="136393B4" w14:textId="77777777" w:rsidR="0051644C" w:rsidRPr="00197E14" w:rsidRDefault="0051644C" w:rsidP="00C854F8">
      <w:pPr>
        <w:numPr>
          <w:ilvl w:val="2"/>
          <w:numId w:val="18"/>
        </w:numPr>
        <w:tabs>
          <w:tab w:val="clear" w:pos="1440"/>
          <w:tab w:val="num" w:pos="1276"/>
        </w:tabs>
        <w:spacing w:line="280" w:lineRule="atLeast"/>
        <w:jc w:val="both"/>
        <w:rPr>
          <w:b/>
          <w:spacing w:val="6"/>
          <w:sz w:val="22"/>
          <w:szCs w:val="22"/>
        </w:rPr>
      </w:pPr>
      <w:hyperlink w:anchor="normativa221" w:history="1">
        <w:r w:rsidRPr="003D57E1">
          <w:rPr>
            <w:rStyle w:val="Hipervnculo"/>
            <w:b/>
            <w:spacing w:val="6"/>
            <w:sz w:val="22"/>
            <w:szCs w:val="22"/>
          </w:rPr>
          <w:t>Normativa vigente</w:t>
        </w:r>
      </w:hyperlink>
    </w:p>
    <w:p w14:paraId="17B15A4F" w14:textId="582B769F" w:rsidR="00197E14" w:rsidRPr="00197E14" w:rsidRDefault="00197E14" w:rsidP="00C854F8">
      <w:pPr>
        <w:numPr>
          <w:ilvl w:val="2"/>
          <w:numId w:val="18"/>
        </w:numPr>
        <w:tabs>
          <w:tab w:val="clear" w:pos="1440"/>
          <w:tab w:val="num" w:pos="1276"/>
        </w:tabs>
        <w:spacing w:line="280" w:lineRule="atLeast"/>
        <w:jc w:val="both"/>
        <w:rPr>
          <w:b/>
          <w:spacing w:val="6"/>
          <w:sz w:val="22"/>
          <w:szCs w:val="22"/>
        </w:rPr>
      </w:pPr>
      <w:hyperlink w:anchor="tensionadas" w:history="1">
        <w:r w:rsidRPr="00197E14">
          <w:rPr>
            <w:rStyle w:val="Hipervnculo"/>
            <w:b/>
            <w:sz w:val="22"/>
            <w:szCs w:val="22"/>
          </w:rPr>
          <w:t>Zonas tensionadas</w:t>
        </w:r>
      </w:hyperlink>
    </w:p>
    <w:p w14:paraId="6E261B82" w14:textId="77777777" w:rsidR="0051644C" w:rsidRDefault="0051644C" w:rsidP="00C854F8">
      <w:pPr>
        <w:numPr>
          <w:ilvl w:val="2"/>
          <w:numId w:val="18"/>
        </w:numPr>
        <w:tabs>
          <w:tab w:val="clear" w:pos="1440"/>
          <w:tab w:val="num" w:pos="1276"/>
        </w:tabs>
        <w:spacing w:line="280" w:lineRule="atLeast"/>
        <w:jc w:val="both"/>
        <w:rPr>
          <w:b/>
          <w:spacing w:val="6"/>
          <w:sz w:val="22"/>
          <w:szCs w:val="22"/>
        </w:rPr>
      </w:pPr>
      <w:hyperlink w:anchor="Comentarios222" w:history="1">
        <w:r w:rsidRPr="0078077A">
          <w:rPr>
            <w:rStyle w:val="Hipervnculo"/>
            <w:b/>
            <w:spacing w:val="6"/>
            <w:sz w:val="22"/>
            <w:szCs w:val="22"/>
          </w:rPr>
          <w:t>Comentarios</w:t>
        </w:r>
      </w:hyperlink>
    </w:p>
    <w:p w14:paraId="46FA3021" w14:textId="77777777" w:rsidR="0051644C" w:rsidRDefault="0051644C" w:rsidP="00C854F8">
      <w:pPr>
        <w:numPr>
          <w:ilvl w:val="2"/>
          <w:numId w:val="18"/>
        </w:numPr>
        <w:tabs>
          <w:tab w:val="clear" w:pos="1440"/>
          <w:tab w:val="num" w:pos="1276"/>
        </w:tabs>
        <w:spacing w:line="280" w:lineRule="atLeast"/>
        <w:jc w:val="both"/>
        <w:rPr>
          <w:b/>
          <w:spacing w:val="6"/>
          <w:sz w:val="22"/>
          <w:szCs w:val="22"/>
        </w:rPr>
      </w:pPr>
      <w:hyperlink w:anchor="tratamiento223" w:history="1">
        <w:r w:rsidRPr="00B172FF">
          <w:rPr>
            <w:rStyle w:val="Hipervnculo"/>
            <w:b/>
            <w:spacing w:val="6"/>
            <w:sz w:val="22"/>
            <w:szCs w:val="22"/>
          </w:rPr>
          <w:t>Tratamiento notarial</w:t>
        </w:r>
      </w:hyperlink>
    </w:p>
    <w:p w14:paraId="07153D08" w14:textId="77777777" w:rsidR="008E1D6D" w:rsidRDefault="008E1D6D" w:rsidP="00C854F8">
      <w:pPr>
        <w:numPr>
          <w:ilvl w:val="1"/>
          <w:numId w:val="18"/>
        </w:numPr>
        <w:spacing w:line="280" w:lineRule="atLeast"/>
        <w:jc w:val="both"/>
        <w:rPr>
          <w:b/>
          <w:spacing w:val="6"/>
          <w:sz w:val="22"/>
          <w:szCs w:val="22"/>
        </w:rPr>
      </w:pPr>
      <w:hyperlink w:anchor="incrementadoedificios" w:history="1">
        <w:r w:rsidRPr="00F25901">
          <w:rPr>
            <w:rStyle w:val="Hipervnculo"/>
            <w:b/>
            <w:spacing w:val="6"/>
            <w:sz w:val="22"/>
            <w:szCs w:val="22"/>
          </w:rPr>
          <w:t xml:space="preserve">Tipo incrementado del 20% </w:t>
        </w:r>
        <w:bookmarkStart w:id="0" w:name="_Hlk215599810"/>
        <w:r w:rsidRPr="00F25901">
          <w:rPr>
            <w:rStyle w:val="Hipervnculo"/>
            <w:b/>
            <w:spacing w:val="6"/>
            <w:sz w:val="22"/>
            <w:szCs w:val="22"/>
          </w:rPr>
          <w:t>en TPO por adquisición de edificios de viviendas con destino a uso turístic</w:t>
        </w:r>
        <w:r w:rsidR="00A35B1B">
          <w:rPr>
            <w:rStyle w:val="Hipervnculo"/>
            <w:b/>
            <w:spacing w:val="6"/>
            <w:sz w:val="22"/>
            <w:szCs w:val="22"/>
          </w:rPr>
          <w:t>o</w:t>
        </w:r>
        <w:r w:rsidR="00B46FC3">
          <w:rPr>
            <w:rStyle w:val="Hipervnculo"/>
            <w:b/>
            <w:spacing w:val="6"/>
            <w:sz w:val="22"/>
            <w:szCs w:val="22"/>
          </w:rPr>
          <w:t xml:space="preserve"> (desde 03/12/2025)</w:t>
        </w:r>
      </w:hyperlink>
    </w:p>
    <w:bookmarkEnd w:id="0"/>
    <w:p w14:paraId="54D3039E" w14:textId="77777777" w:rsidR="008E1D6D" w:rsidRDefault="00AB385B" w:rsidP="00C854F8">
      <w:pPr>
        <w:numPr>
          <w:ilvl w:val="2"/>
          <w:numId w:val="18"/>
        </w:numPr>
        <w:tabs>
          <w:tab w:val="clear" w:pos="1440"/>
          <w:tab w:val="left" w:pos="1276"/>
        </w:tabs>
        <w:spacing w:line="280" w:lineRule="atLeast"/>
        <w:ind w:left="1134" w:hanging="414"/>
        <w:jc w:val="both"/>
        <w:rPr>
          <w:b/>
          <w:spacing w:val="6"/>
          <w:sz w:val="22"/>
          <w:szCs w:val="22"/>
        </w:rPr>
      </w:pPr>
      <w:r>
        <w:rPr>
          <w:b/>
          <w:spacing w:val="6"/>
          <w:sz w:val="22"/>
          <w:szCs w:val="22"/>
        </w:rPr>
        <w:fldChar w:fldCharType="begin"/>
      </w:r>
      <w:r>
        <w:rPr>
          <w:b/>
          <w:spacing w:val="6"/>
          <w:sz w:val="22"/>
          <w:szCs w:val="22"/>
        </w:rPr>
        <w:instrText>HYPERLINK  \l "normativa231"</w:instrText>
      </w:r>
      <w:r>
        <w:rPr>
          <w:b/>
          <w:spacing w:val="6"/>
          <w:sz w:val="22"/>
          <w:szCs w:val="22"/>
        </w:rPr>
      </w:r>
      <w:r>
        <w:rPr>
          <w:b/>
          <w:spacing w:val="6"/>
          <w:sz w:val="22"/>
          <w:szCs w:val="22"/>
        </w:rPr>
        <w:fldChar w:fldCharType="separate"/>
      </w:r>
      <w:r w:rsidR="008E1D6D" w:rsidRPr="00AB385B">
        <w:rPr>
          <w:rStyle w:val="Hipervnculo"/>
          <w:b/>
          <w:spacing w:val="6"/>
          <w:sz w:val="22"/>
          <w:szCs w:val="22"/>
        </w:rPr>
        <w:t>Normativa vigente</w:t>
      </w:r>
      <w:r>
        <w:rPr>
          <w:b/>
          <w:spacing w:val="6"/>
          <w:sz w:val="22"/>
          <w:szCs w:val="22"/>
        </w:rPr>
        <w:fldChar w:fldCharType="end"/>
      </w:r>
    </w:p>
    <w:p w14:paraId="3E3EA894" w14:textId="77777777" w:rsidR="008E1D6D" w:rsidRDefault="008E1D6D" w:rsidP="00C854F8">
      <w:pPr>
        <w:numPr>
          <w:ilvl w:val="2"/>
          <w:numId w:val="18"/>
        </w:numPr>
        <w:tabs>
          <w:tab w:val="clear" w:pos="1440"/>
          <w:tab w:val="left" w:pos="1276"/>
        </w:tabs>
        <w:spacing w:line="280" w:lineRule="atLeast"/>
        <w:jc w:val="both"/>
        <w:rPr>
          <w:b/>
          <w:spacing w:val="6"/>
          <w:sz w:val="22"/>
          <w:szCs w:val="22"/>
        </w:rPr>
      </w:pPr>
      <w:hyperlink w:anchor="tratamiento232" w:history="1">
        <w:r w:rsidRPr="00D829D5">
          <w:rPr>
            <w:rStyle w:val="Hipervnculo"/>
            <w:b/>
            <w:spacing w:val="6"/>
            <w:sz w:val="22"/>
            <w:szCs w:val="22"/>
          </w:rPr>
          <w:t>Tratamiento notarial</w:t>
        </w:r>
      </w:hyperlink>
    </w:p>
    <w:p w14:paraId="04D609FD" w14:textId="77777777" w:rsidR="000350C0" w:rsidRPr="00AD5960" w:rsidRDefault="00AD5960" w:rsidP="00C854F8">
      <w:pPr>
        <w:numPr>
          <w:ilvl w:val="1"/>
          <w:numId w:val="18"/>
        </w:numPr>
        <w:spacing w:line="280" w:lineRule="atLeast"/>
        <w:jc w:val="both"/>
        <w:rPr>
          <w:b/>
          <w:spacing w:val="6"/>
          <w:sz w:val="22"/>
          <w:szCs w:val="22"/>
        </w:rPr>
      </w:pPr>
      <w:hyperlink w:anchor="zonadespoblada" w:history="1">
        <w:r w:rsidRPr="00AD5960">
          <w:rPr>
            <w:rStyle w:val="Hipervnculo"/>
            <w:b/>
            <w:spacing w:val="6"/>
            <w:sz w:val="22"/>
            <w:szCs w:val="22"/>
          </w:rPr>
          <w:t>Tipo reducido del 4% (hasta 150.000 €) o del 6% (más de 150.000 €) en TPO por vivienda habitual en zona despoblada (desde 01/01/2024)</w:t>
        </w:r>
      </w:hyperlink>
    </w:p>
    <w:p w14:paraId="2249E8AF" w14:textId="77777777" w:rsidR="000350C0" w:rsidRDefault="000350C0" w:rsidP="00C854F8">
      <w:pPr>
        <w:numPr>
          <w:ilvl w:val="2"/>
          <w:numId w:val="18"/>
        </w:numPr>
        <w:tabs>
          <w:tab w:val="clear" w:pos="1440"/>
          <w:tab w:val="num" w:pos="1276"/>
        </w:tabs>
        <w:spacing w:line="280" w:lineRule="atLeast"/>
        <w:jc w:val="both"/>
        <w:rPr>
          <w:b/>
          <w:spacing w:val="6"/>
          <w:sz w:val="22"/>
          <w:szCs w:val="22"/>
        </w:rPr>
      </w:pPr>
      <w:hyperlink w:anchor="nzonadespoblada" w:history="1">
        <w:r w:rsidRPr="008554ED">
          <w:rPr>
            <w:rStyle w:val="Hipervnculo"/>
            <w:b/>
            <w:spacing w:val="6"/>
            <w:sz w:val="22"/>
            <w:szCs w:val="22"/>
          </w:rPr>
          <w:t>Normativa vigente</w:t>
        </w:r>
      </w:hyperlink>
    </w:p>
    <w:p w14:paraId="087036C7" w14:textId="77777777" w:rsidR="00E161B6" w:rsidRDefault="00E161B6" w:rsidP="00C854F8">
      <w:pPr>
        <w:numPr>
          <w:ilvl w:val="2"/>
          <w:numId w:val="18"/>
        </w:numPr>
        <w:tabs>
          <w:tab w:val="clear" w:pos="1440"/>
          <w:tab w:val="num" w:pos="1276"/>
        </w:tabs>
        <w:spacing w:line="280" w:lineRule="atLeast"/>
        <w:jc w:val="both"/>
        <w:rPr>
          <w:b/>
          <w:spacing w:val="6"/>
          <w:sz w:val="22"/>
          <w:szCs w:val="22"/>
        </w:rPr>
      </w:pPr>
      <w:hyperlink w:anchor="Comentarios222" w:history="1">
        <w:r w:rsidRPr="004C0A10">
          <w:rPr>
            <w:rStyle w:val="Hipervnculo"/>
            <w:b/>
            <w:spacing w:val="6"/>
            <w:sz w:val="22"/>
            <w:szCs w:val="22"/>
          </w:rPr>
          <w:t>Comentarios</w:t>
        </w:r>
      </w:hyperlink>
    </w:p>
    <w:p w14:paraId="53F2226B" w14:textId="77777777" w:rsidR="000350C0" w:rsidRDefault="000350C0" w:rsidP="00C854F8">
      <w:pPr>
        <w:numPr>
          <w:ilvl w:val="2"/>
          <w:numId w:val="18"/>
        </w:numPr>
        <w:tabs>
          <w:tab w:val="clear" w:pos="1440"/>
          <w:tab w:val="num" w:pos="1276"/>
        </w:tabs>
        <w:spacing w:line="280" w:lineRule="atLeast"/>
        <w:jc w:val="both"/>
        <w:rPr>
          <w:b/>
          <w:spacing w:val="6"/>
          <w:sz w:val="22"/>
          <w:szCs w:val="22"/>
        </w:rPr>
      </w:pPr>
      <w:hyperlink w:anchor="tzonadespoblada" w:history="1">
        <w:r w:rsidRPr="00456B80">
          <w:rPr>
            <w:rStyle w:val="Hipervnculo"/>
            <w:b/>
            <w:spacing w:val="6"/>
            <w:sz w:val="22"/>
            <w:szCs w:val="22"/>
          </w:rPr>
          <w:t>Tratamiento notarial</w:t>
        </w:r>
      </w:hyperlink>
    </w:p>
    <w:p w14:paraId="0B1F5092" w14:textId="77777777" w:rsidR="00F72363" w:rsidRDefault="00F72363" w:rsidP="00C854F8">
      <w:pPr>
        <w:numPr>
          <w:ilvl w:val="1"/>
          <w:numId w:val="18"/>
        </w:numPr>
        <w:spacing w:line="280" w:lineRule="atLeast"/>
        <w:jc w:val="both"/>
        <w:rPr>
          <w:b/>
          <w:spacing w:val="6"/>
          <w:sz w:val="22"/>
          <w:szCs w:val="22"/>
        </w:rPr>
      </w:pPr>
      <w:hyperlink w:anchor="joven" w:history="1">
        <w:r w:rsidRPr="00E6458E">
          <w:rPr>
            <w:rStyle w:val="Hipervnculo"/>
            <w:b/>
            <w:spacing w:val="6"/>
            <w:sz w:val="22"/>
            <w:szCs w:val="22"/>
          </w:rPr>
          <w:t>Tipo reducido del 4</w:t>
        </w:r>
        <w:r w:rsidR="002960DC" w:rsidRPr="00E6458E">
          <w:rPr>
            <w:rStyle w:val="Hipervnculo"/>
            <w:b/>
            <w:spacing w:val="6"/>
            <w:sz w:val="22"/>
            <w:szCs w:val="22"/>
          </w:rPr>
          <w:t>%</w:t>
        </w:r>
        <w:r w:rsidRPr="00E6458E">
          <w:rPr>
            <w:rStyle w:val="Hipervnculo"/>
            <w:b/>
            <w:spacing w:val="6"/>
            <w:sz w:val="22"/>
            <w:szCs w:val="22"/>
          </w:rPr>
          <w:t xml:space="preserve"> (hasta 150.000 €) o del 6% (más de 150.000 €) en TPO por vivienda habitual para jóvenes de hasta 35 años, familias numerosas y mujeres víctimas de violencia de género (desde 01/01/2024</w:t>
        </w:r>
        <w:r w:rsidR="00782A6D">
          <w:rPr>
            <w:rStyle w:val="Hipervnculo"/>
            <w:b/>
            <w:spacing w:val="6"/>
            <w:sz w:val="22"/>
            <w:szCs w:val="22"/>
          </w:rPr>
          <w:t>), así como familias monoparentales (desde el 01/0/2025</w:t>
        </w:r>
        <w:r w:rsidRPr="00E6458E">
          <w:rPr>
            <w:rStyle w:val="Hipervnculo"/>
            <w:b/>
            <w:spacing w:val="6"/>
            <w:sz w:val="22"/>
            <w:szCs w:val="22"/>
          </w:rPr>
          <w:t>)</w:t>
        </w:r>
      </w:hyperlink>
    </w:p>
    <w:p w14:paraId="4B62A184" w14:textId="77777777" w:rsidR="00F72363" w:rsidRDefault="00F72363" w:rsidP="00C854F8">
      <w:pPr>
        <w:numPr>
          <w:ilvl w:val="2"/>
          <w:numId w:val="18"/>
        </w:numPr>
        <w:tabs>
          <w:tab w:val="clear" w:pos="1440"/>
          <w:tab w:val="num" w:pos="1276"/>
        </w:tabs>
        <w:spacing w:line="280" w:lineRule="atLeast"/>
        <w:jc w:val="both"/>
        <w:rPr>
          <w:b/>
          <w:spacing w:val="6"/>
          <w:sz w:val="22"/>
          <w:szCs w:val="22"/>
        </w:rPr>
      </w:pPr>
      <w:hyperlink w:anchor="Normativa231" w:history="1">
        <w:r w:rsidRPr="0004713D">
          <w:rPr>
            <w:rStyle w:val="Hipervnculo"/>
            <w:b/>
            <w:spacing w:val="6"/>
            <w:sz w:val="22"/>
            <w:szCs w:val="22"/>
          </w:rPr>
          <w:t>Normativa vigente</w:t>
        </w:r>
      </w:hyperlink>
    </w:p>
    <w:p w14:paraId="21DB32CD" w14:textId="77777777" w:rsidR="00E161B6" w:rsidRDefault="00E161B6" w:rsidP="00C854F8">
      <w:pPr>
        <w:numPr>
          <w:ilvl w:val="2"/>
          <w:numId w:val="18"/>
        </w:numPr>
        <w:tabs>
          <w:tab w:val="clear" w:pos="1440"/>
          <w:tab w:val="num" w:pos="1276"/>
        </w:tabs>
        <w:spacing w:line="280" w:lineRule="atLeast"/>
        <w:jc w:val="both"/>
        <w:rPr>
          <w:b/>
          <w:spacing w:val="6"/>
          <w:sz w:val="22"/>
          <w:szCs w:val="22"/>
        </w:rPr>
      </w:pPr>
      <w:hyperlink w:anchor="Comentarios232" w:history="1">
        <w:r w:rsidRPr="002E7BA5">
          <w:rPr>
            <w:rStyle w:val="Hipervnculo"/>
            <w:b/>
            <w:spacing w:val="6"/>
            <w:sz w:val="22"/>
            <w:szCs w:val="22"/>
          </w:rPr>
          <w:t>Comentarios</w:t>
        </w:r>
      </w:hyperlink>
    </w:p>
    <w:p w14:paraId="7138A0E3" w14:textId="3C08B14F" w:rsidR="00F72363" w:rsidRDefault="00F72363" w:rsidP="00C854F8">
      <w:pPr>
        <w:numPr>
          <w:ilvl w:val="2"/>
          <w:numId w:val="18"/>
        </w:numPr>
        <w:tabs>
          <w:tab w:val="clear" w:pos="1440"/>
          <w:tab w:val="num" w:pos="1276"/>
        </w:tabs>
        <w:spacing w:line="280" w:lineRule="atLeast"/>
        <w:jc w:val="both"/>
        <w:rPr>
          <w:b/>
          <w:spacing w:val="6"/>
          <w:sz w:val="22"/>
          <w:szCs w:val="22"/>
        </w:rPr>
      </w:pPr>
      <w:hyperlink w:anchor="tratamiento253" w:history="1">
        <w:r w:rsidRPr="00734AEF">
          <w:rPr>
            <w:rStyle w:val="Hipervnculo"/>
            <w:b/>
            <w:spacing w:val="6"/>
            <w:sz w:val="22"/>
            <w:szCs w:val="22"/>
          </w:rPr>
          <w:t>Tratamiento notarial</w:t>
        </w:r>
      </w:hyperlink>
    </w:p>
    <w:bookmarkStart w:id="1" w:name="_Hlk155529697"/>
    <w:p w14:paraId="24810A12" w14:textId="77777777" w:rsidR="00EA2EDC" w:rsidRDefault="00D27D87" w:rsidP="00C854F8">
      <w:pPr>
        <w:numPr>
          <w:ilvl w:val="1"/>
          <w:numId w:val="18"/>
        </w:numPr>
        <w:spacing w:line="280" w:lineRule="atLeast"/>
        <w:jc w:val="both"/>
        <w:rPr>
          <w:b/>
          <w:spacing w:val="6"/>
          <w:sz w:val="22"/>
          <w:szCs w:val="22"/>
        </w:rPr>
      </w:pPr>
      <w:r>
        <w:rPr>
          <w:b/>
          <w:spacing w:val="6"/>
          <w:sz w:val="22"/>
          <w:szCs w:val="22"/>
        </w:rPr>
        <w:fldChar w:fldCharType="begin"/>
      </w:r>
      <w:r>
        <w:rPr>
          <w:b/>
          <w:spacing w:val="6"/>
          <w:sz w:val="22"/>
          <w:szCs w:val="22"/>
        </w:rPr>
        <w:instrText>HYPERLINK  \l "deducción24"</w:instrText>
      </w:r>
      <w:r>
        <w:rPr>
          <w:b/>
          <w:spacing w:val="6"/>
          <w:sz w:val="22"/>
          <w:szCs w:val="22"/>
        </w:rPr>
      </w:r>
      <w:r>
        <w:rPr>
          <w:b/>
          <w:spacing w:val="6"/>
          <w:sz w:val="22"/>
          <w:szCs w:val="22"/>
        </w:rPr>
        <w:fldChar w:fldCharType="separate"/>
      </w:r>
      <w:r w:rsidR="00EA2EDC" w:rsidRPr="00D27D87">
        <w:rPr>
          <w:rStyle w:val="Hipervnculo"/>
          <w:b/>
          <w:spacing w:val="6"/>
          <w:sz w:val="22"/>
          <w:szCs w:val="22"/>
        </w:rPr>
        <w:t>Deducción del 100% en TPO para las transmisiones de suelo rústico</w:t>
      </w:r>
      <w:r>
        <w:rPr>
          <w:b/>
          <w:spacing w:val="6"/>
          <w:sz w:val="22"/>
          <w:szCs w:val="22"/>
        </w:rPr>
        <w:fldChar w:fldCharType="end"/>
      </w:r>
    </w:p>
    <w:bookmarkEnd w:id="1"/>
    <w:p w14:paraId="056C13B5" w14:textId="77777777" w:rsidR="00EA2EDC" w:rsidRDefault="008D550A" w:rsidP="00C854F8">
      <w:pPr>
        <w:numPr>
          <w:ilvl w:val="2"/>
          <w:numId w:val="18"/>
        </w:numPr>
        <w:tabs>
          <w:tab w:val="clear" w:pos="1440"/>
          <w:tab w:val="num" w:pos="1276"/>
        </w:tabs>
        <w:spacing w:line="280" w:lineRule="atLeast"/>
        <w:jc w:val="both"/>
        <w:rPr>
          <w:b/>
          <w:spacing w:val="6"/>
          <w:sz w:val="22"/>
          <w:szCs w:val="22"/>
        </w:rPr>
      </w:pPr>
      <w:r>
        <w:rPr>
          <w:b/>
          <w:spacing w:val="6"/>
          <w:sz w:val="22"/>
          <w:szCs w:val="22"/>
        </w:rPr>
        <w:fldChar w:fldCharType="begin"/>
      </w:r>
      <w:r>
        <w:rPr>
          <w:b/>
          <w:spacing w:val="6"/>
          <w:sz w:val="22"/>
          <w:szCs w:val="22"/>
        </w:rPr>
        <w:instrText>HYPERLINK  \l "normativa241"</w:instrText>
      </w:r>
      <w:r>
        <w:rPr>
          <w:b/>
          <w:spacing w:val="6"/>
          <w:sz w:val="22"/>
          <w:szCs w:val="22"/>
        </w:rPr>
      </w:r>
      <w:r>
        <w:rPr>
          <w:b/>
          <w:spacing w:val="6"/>
          <w:sz w:val="22"/>
          <w:szCs w:val="22"/>
        </w:rPr>
        <w:fldChar w:fldCharType="separate"/>
      </w:r>
      <w:r w:rsidR="00EA2EDC" w:rsidRPr="008D550A">
        <w:rPr>
          <w:rStyle w:val="Hipervnculo"/>
          <w:b/>
          <w:spacing w:val="6"/>
          <w:sz w:val="22"/>
          <w:szCs w:val="22"/>
        </w:rPr>
        <w:t>Normativa vigente</w:t>
      </w:r>
      <w:r>
        <w:rPr>
          <w:b/>
          <w:spacing w:val="6"/>
          <w:sz w:val="22"/>
          <w:szCs w:val="22"/>
        </w:rPr>
        <w:fldChar w:fldCharType="end"/>
      </w:r>
    </w:p>
    <w:p w14:paraId="1E3CBEF4" w14:textId="77777777" w:rsidR="00E161B6" w:rsidRDefault="00E161B6" w:rsidP="00C854F8">
      <w:pPr>
        <w:numPr>
          <w:ilvl w:val="2"/>
          <w:numId w:val="18"/>
        </w:numPr>
        <w:tabs>
          <w:tab w:val="clear" w:pos="1440"/>
          <w:tab w:val="num" w:pos="1276"/>
        </w:tabs>
        <w:spacing w:line="280" w:lineRule="atLeast"/>
        <w:jc w:val="both"/>
        <w:rPr>
          <w:b/>
          <w:spacing w:val="6"/>
          <w:sz w:val="22"/>
          <w:szCs w:val="22"/>
        </w:rPr>
      </w:pPr>
      <w:hyperlink w:anchor="Comentarios242" w:history="1">
        <w:r w:rsidRPr="00272B19">
          <w:rPr>
            <w:rStyle w:val="Hipervnculo"/>
            <w:b/>
            <w:spacing w:val="6"/>
            <w:sz w:val="22"/>
            <w:szCs w:val="22"/>
          </w:rPr>
          <w:t>Comentarios</w:t>
        </w:r>
      </w:hyperlink>
    </w:p>
    <w:p w14:paraId="1B7652F6" w14:textId="77777777" w:rsidR="00EA2EDC" w:rsidRDefault="00EA2EDC" w:rsidP="00C854F8">
      <w:pPr>
        <w:numPr>
          <w:ilvl w:val="2"/>
          <w:numId w:val="18"/>
        </w:numPr>
        <w:tabs>
          <w:tab w:val="clear" w:pos="1440"/>
          <w:tab w:val="num" w:pos="1276"/>
        </w:tabs>
        <w:spacing w:line="280" w:lineRule="atLeast"/>
        <w:jc w:val="both"/>
        <w:rPr>
          <w:b/>
          <w:spacing w:val="6"/>
          <w:sz w:val="22"/>
          <w:szCs w:val="22"/>
        </w:rPr>
      </w:pPr>
      <w:hyperlink w:anchor="tratamiento242" w:history="1">
        <w:r w:rsidRPr="006D4B0D">
          <w:rPr>
            <w:rStyle w:val="Hipervnculo"/>
            <w:b/>
            <w:spacing w:val="6"/>
            <w:sz w:val="22"/>
            <w:szCs w:val="22"/>
          </w:rPr>
          <w:t>Tratamiento notarial</w:t>
        </w:r>
      </w:hyperlink>
    </w:p>
    <w:p w14:paraId="25596350" w14:textId="77777777" w:rsidR="00380091" w:rsidRDefault="00380091" w:rsidP="00C854F8">
      <w:pPr>
        <w:numPr>
          <w:ilvl w:val="1"/>
          <w:numId w:val="18"/>
        </w:numPr>
        <w:spacing w:line="280" w:lineRule="atLeast"/>
        <w:jc w:val="both"/>
        <w:rPr>
          <w:b/>
          <w:spacing w:val="6"/>
          <w:sz w:val="22"/>
          <w:szCs w:val="22"/>
        </w:rPr>
      </w:pPr>
      <w:hyperlink w:anchor="construcción25" w:history="1">
        <w:r w:rsidRPr="00A138E9">
          <w:rPr>
            <w:rStyle w:val="Hipervnculo"/>
            <w:b/>
            <w:spacing w:val="6"/>
            <w:sz w:val="22"/>
            <w:szCs w:val="22"/>
          </w:rPr>
          <w:t xml:space="preserve">Deducción del 100% en TPO </w:t>
        </w:r>
        <w:bookmarkStart w:id="2" w:name="_Hlk155542740"/>
        <w:r w:rsidRPr="00A138E9">
          <w:rPr>
            <w:rStyle w:val="Hipervnculo"/>
            <w:b/>
            <w:spacing w:val="6"/>
            <w:sz w:val="22"/>
            <w:szCs w:val="22"/>
          </w:rPr>
          <w:t xml:space="preserve">y </w:t>
        </w:r>
        <w:r w:rsidR="00A138E9" w:rsidRPr="00A138E9">
          <w:rPr>
            <w:rStyle w:val="Hipervnculo"/>
            <w:b/>
            <w:spacing w:val="6"/>
            <w:sz w:val="22"/>
            <w:szCs w:val="22"/>
          </w:rPr>
          <w:t xml:space="preserve">en </w:t>
        </w:r>
        <w:r w:rsidRPr="00A138E9">
          <w:rPr>
            <w:rStyle w:val="Hipervnculo"/>
            <w:b/>
            <w:spacing w:val="6"/>
            <w:sz w:val="22"/>
            <w:szCs w:val="22"/>
          </w:rPr>
          <w:t xml:space="preserve">AJD para </w:t>
        </w:r>
        <w:r w:rsidR="00A138E9" w:rsidRPr="00A138E9">
          <w:rPr>
            <w:rStyle w:val="Hipervnculo"/>
            <w:b/>
            <w:spacing w:val="6"/>
            <w:sz w:val="22"/>
            <w:szCs w:val="22"/>
          </w:rPr>
          <w:t xml:space="preserve">la </w:t>
        </w:r>
        <w:r w:rsidRPr="00A138E9">
          <w:rPr>
            <w:rStyle w:val="Hipervnculo"/>
            <w:b/>
            <w:spacing w:val="6"/>
            <w:sz w:val="22"/>
            <w:szCs w:val="22"/>
          </w:rPr>
          <w:t>construcción de vivienda protegida</w:t>
        </w:r>
        <w:bookmarkEnd w:id="2"/>
        <w:r w:rsidR="00A138E9" w:rsidRPr="00A138E9">
          <w:rPr>
            <w:rStyle w:val="Hipervnculo"/>
            <w:b/>
            <w:spacing w:val="6"/>
            <w:sz w:val="22"/>
            <w:szCs w:val="22"/>
          </w:rPr>
          <w:t xml:space="preserve"> estatal y autonómica</w:t>
        </w:r>
      </w:hyperlink>
    </w:p>
    <w:p w14:paraId="7143B386" w14:textId="77777777" w:rsidR="00380091" w:rsidRDefault="00380091" w:rsidP="00C854F8">
      <w:pPr>
        <w:numPr>
          <w:ilvl w:val="2"/>
          <w:numId w:val="18"/>
        </w:numPr>
        <w:tabs>
          <w:tab w:val="clear" w:pos="1440"/>
          <w:tab w:val="num" w:pos="1276"/>
        </w:tabs>
        <w:spacing w:line="280" w:lineRule="atLeast"/>
        <w:jc w:val="both"/>
        <w:rPr>
          <w:b/>
          <w:spacing w:val="6"/>
          <w:sz w:val="22"/>
          <w:szCs w:val="22"/>
        </w:rPr>
      </w:pPr>
      <w:hyperlink w:anchor="normativa251" w:history="1">
        <w:r w:rsidRPr="00DB72F9">
          <w:rPr>
            <w:rStyle w:val="Hipervnculo"/>
            <w:b/>
            <w:spacing w:val="6"/>
            <w:sz w:val="22"/>
            <w:szCs w:val="22"/>
          </w:rPr>
          <w:t>Normativa vigente</w:t>
        </w:r>
      </w:hyperlink>
    </w:p>
    <w:p w14:paraId="4D4B161D" w14:textId="77777777" w:rsidR="00380091" w:rsidRDefault="00380091" w:rsidP="00C854F8">
      <w:pPr>
        <w:numPr>
          <w:ilvl w:val="2"/>
          <w:numId w:val="18"/>
        </w:numPr>
        <w:tabs>
          <w:tab w:val="clear" w:pos="1440"/>
          <w:tab w:val="num" w:pos="1276"/>
        </w:tabs>
        <w:spacing w:line="280" w:lineRule="atLeast"/>
        <w:jc w:val="both"/>
        <w:rPr>
          <w:b/>
          <w:spacing w:val="6"/>
          <w:sz w:val="22"/>
          <w:szCs w:val="22"/>
        </w:rPr>
      </w:pPr>
      <w:hyperlink w:anchor="tratamiento252" w:history="1">
        <w:r w:rsidRPr="002F0D6C">
          <w:rPr>
            <w:rStyle w:val="Hipervnculo"/>
            <w:b/>
            <w:spacing w:val="6"/>
            <w:sz w:val="22"/>
            <w:szCs w:val="22"/>
          </w:rPr>
          <w:t>Tratamiento notarial</w:t>
        </w:r>
      </w:hyperlink>
    </w:p>
    <w:p w14:paraId="549C28E1" w14:textId="77777777" w:rsidR="00EE1145" w:rsidRDefault="00EE1145" w:rsidP="00C854F8">
      <w:pPr>
        <w:numPr>
          <w:ilvl w:val="1"/>
          <w:numId w:val="18"/>
        </w:numPr>
        <w:spacing w:line="280" w:lineRule="atLeast"/>
        <w:jc w:val="both"/>
        <w:rPr>
          <w:b/>
          <w:spacing w:val="6"/>
          <w:sz w:val="22"/>
          <w:szCs w:val="22"/>
        </w:rPr>
      </w:pPr>
      <w:hyperlink w:anchor="B2" w:history="1">
        <w:r>
          <w:rPr>
            <w:rStyle w:val="Hipervnculo"/>
            <w:b/>
            <w:spacing w:val="6"/>
            <w:sz w:val="22"/>
            <w:szCs w:val="22"/>
          </w:rPr>
          <w:t>Tipo reducido del 3% en TPO por segunda y ulteriores transmisiones de vivienda protegida</w:t>
        </w:r>
      </w:hyperlink>
    </w:p>
    <w:p w14:paraId="05D9317C"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n221" w:history="1">
        <w:r>
          <w:rPr>
            <w:rStyle w:val="Hipervnculo"/>
            <w:b/>
            <w:spacing w:val="6"/>
            <w:sz w:val="22"/>
            <w:szCs w:val="22"/>
          </w:rPr>
          <w:t>Normativa vigente</w:t>
        </w:r>
      </w:hyperlink>
    </w:p>
    <w:p w14:paraId="784C0B2E"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t222" w:history="1">
        <w:r>
          <w:rPr>
            <w:rStyle w:val="Hipervnculo"/>
            <w:b/>
            <w:spacing w:val="6"/>
            <w:sz w:val="22"/>
            <w:szCs w:val="22"/>
          </w:rPr>
          <w:t>Tratamiento notarial</w:t>
        </w:r>
      </w:hyperlink>
    </w:p>
    <w:p w14:paraId="1855D934" w14:textId="77777777" w:rsidR="00EE1145" w:rsidRDefault="00EE1145" w:rsidP="00C854F8">
      <w:pPr>
        <w:numPr>
          <w:ilvl w:val="1"/>
          <w:numId w:val="18"/>
        </w:numPr>
        <w:spacing w:line="280" w:lineRule="atLeast"/>
        <w:jc w:val="both"/>
        <w:rPr>
          <w:b/>
          <w:spacing w:val="6"/>
          <w:sz w:val="22"/>
          <w:szCs w:val="22"/>
        </w:rPr>
      </w:pPr>
      <w:hyperlink w:anchor="tipo24" w:history="1">
        <w:r>
          <w:rPr>
            <w:rStyle w:val="Hipervnculo"/>
            <w:b/>
            <w:spacing w:val="6"/>
            <w:sz w:val="22"/>
            <w:szCs w:val="22"/>
          </w:rPr>
          <w:t>Tipo reducido del 0,3% en AJD por adquisición</w:t>
        </w:r>
        <w:r w:rsidR="005F1DBF">
          <w:rPr>
            <w:rStyle w:val="Hipervnculo"/>
            <w:b/>
            <w:spacing w:val="6"/>
            <w:sz w:val="22"/>
            <w:szCs w:val="22"/>
          </w:rPr>
          <w:t xml:space="preserve"> (se mantiene) o por </w:t>
        </w:r>
        <w:r>
          <w:rPr>
            <w:rStyle w:val="Hipervnculo"/>
            <w:b/>
            <w:spacing w:val="6"/>
            <w:sz w:val="22"/>
            <w:szCs w:val="22"/>
          </w:rPr>
          <w:t>préstamo hipotecario</w:t>
        </w:r>
        <w:r w:rsidR="005F1DBF">
          <w:rPr>
            <w:rStyle w:val="Hipervnculo"/>
            <w:b/>
            <w:spacing w:val="6"/>
            <w:sz w:val="22"/>
            <w:szCs w:val="22"/>
          </w:rPr>
          <w:t xml:space="preserve"> (suprimida desde 01/01/2019)</w:t>
        </w:r>
        <w:r>
          <w:rPr>
            <w:rStyle w:val="Hipervnculo"/>
            <w:b/>
            <w:spacing w:val="6"/>
            <w:sz w:val="22"/>
            <w:szCs w:val="22"/>
          </w:rPr>
          <w:t xml:space="preserve"> para vivienda protegida</w:t>
        </w:r>
      </w:hyperlink>
    </w:p>
    <w:p w14:paraId="307A4C2D"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n261" w:history="1">
        <w:r>
          <w:rPr>
            <w:rStyle w:val="Hipervnculo"/>
            <w:b/>
            <w:spacing w:val="6"/>
            <w:sz w:val="22"/>
            <w:szCs w:val="22"/>
          </w:rPr>
          <w:t>Normativa vigente</w:t>
        </w:r>
      </w:hyperlink>
    </w:p>
    <w:p w14:paraId="5EC91B3C"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t262" w:history="1">
        <w:r>
          <w:rPr>
            <w:rStyle w:val="Hipervnculo"/>
            <w:b/>
            <w:spacing w:val="6"/>
            <w:sz w:val="22"/>
            <w:szCs w:val="22"/>
          </w:rPr>
          <w:t>Tratamiento notarial</w:t>
        </w:r>
      </w:hyperlink>
    </w:p>
    <w:p w14:paraId="6426B22C" w14:textId="77777777" w:rsidR="002130AC" w:rsidRDefault="002130AC" w:rsidP="00C854F8">
      <w:pPr>
        <w:numPr>
          <w:ilvl w:val="1"/>
          <w:numId w:val="18"/>
        </w:numPr>
        <w:tabs>
          <w:tab w:val="left" w:pos="851"/>
        </w:tabs>
        <w:spacing w:line="280" w:lineRule="atLeast"/>
        <w:jc w:val="both"/>
        <w:rPr>
          <w:b/>
          <w:spacing w:val="6"/>
          <w:sz w:val="22"/>
          <w:szCs w:val="22"/>
        </w:rPr>
      </w:pPr>
      <w:hyperlink w:anchor="tipo27" w:history="1">
        <w:r w:rsidRPr="002D53EE">
          <w:rPr>
            <w:rStyle w:val="Hipervnculo"/>
            <w:b/>
            <w:spacing w:val="6"/>
            <w:sz w:val="22"/>
            <w:szCs w:val="22"/>
          </w:rPr>
          <w:t>Tipo incrementado del 4% al 8% en TPO de determinados bienes muebles suntuarios; y deducción del 100% para la maquinaria agrícola</w:t>
        </w:r>
      </w:hyperlink>
    </w:p>
    <w:p w14:paraId="3B8E38F9" w14:textId="77777777" w:rsidR="002130AC" w:rsidRDefault="002130AC" w:rsidP="00C854F8">
      <w:pPr>
        <w:numPr>
          <w:ilvl w:val="2"/>
          <w:numId w:val="18"/>
        </w:numPr>
        <w:tabs>
          <w:tab w:val="clear" w:pos="1440"/>
          <w:tab w:val="num" w:pos="1276"/>
        </w:tabs>
        <w:spacing w:line="280" w:lineRule="atLeast"/>
        <w:jc w:val="both"/>
        <w:rPr>
          <w:b/>
          <w:spacing w:val="6"/>
          <w:sz w:val="22"/>
          <w:szCs w:val="22"/>
        </w:rPr>
      </w:pPr>
      <w:hyperlink w:anchor="normativa271" w:history="1">
        <w:r w:rsidRPr="009A349F">
          <w:rPr>
            <w:rStyle w:val="Hipervnculo"/>
            <w:b/>
            <w:spacing w:val="6"/>
            <w:sz w:val="22"/>
            <w:szCs w:val="22"/>
          </w:rPr>
          <w:t>Normativa vigente</w:t>
        </w:r>
      </w:hyperlink>
    </w:p>
    <w:p w14:paraId="5A2C6D04" w14:textId="77777777" w:rsidR="002130AC" w:rsidRDefault="002130AC" w:rsidP="00C854F8">
      <w:pPr>
        <w:numPr>
          <w:ilvl w:val="2"/>
          <w:numId w:val="18"/>
        </w:numPr>
        <w:tabs>
          <w:tab w:val="clear" w:pos="1440"/>
          <w:tab w:val="num" w:pos="1276"/>
        </w:tabs>
        <w:spacing w:line="280" w:lineRule="atLeast"/>
        <w:jc w:val="both"/>
        <w:rPr>
          <w:b/>
          <w:spacing w:val="6"/>
          <w:sz w:val="22"/>
          <w:szCs w:val="22"/>
        </w:rPr>
      </w:pPr>
      <w:hyperlink w:anchor="tratamiento272" w:history="1">
        <w:r w:rsidRPr="00A62C62">
          <w:rPr>
            <w:rStyle w:val="Hipervnculo"/>
            <w:b/>
            <w:spacing w:val="6"/>
            <w:sz w:val="22"/>
            <w:szCs w:val="22"/>
          </w:rPr>
          <w:t>Tratamiento notarial</w:t>
        </w:r>
      </w:hyperlink>
    </w:p>
    <w:p w14:paraId="755F1402" w14:textId="77777777" w:rsidR="00EE1145" w:rsidRDefault="00EE1145" w:rsidP="00C854F8">
      <w:pPr>
        <w:numPr>
          <w:ilvl w:val="1"/>
          <w:numId w:val="18"/>
        </w:numPr>
        <w:tabs>
          <w:tab w:val="left" w:pos="851"/>
        </w:tabs>
        <w:spacing w:line="280" w:lineRule="atLeast"/>
        <w:jc w:val="both"/>
        <w:rPr>
          <w:b/>
          <w:spacing w:val="6"/>
          <w:sz w:val="22"/>
          <w:szCs w:val="22"/>
        </w:rPr>
      </w:pPr>
      <w:hyperlink w:anchor="global" w:history="1">
        <w:r>
          <w:rPr>
            <w:rStyle w:val="Hipervnculo"/>
            <w:b/>
            <w:spacing w:val="6"/>
            <w:sz w:val="22"/>
            <w:szCs w:val="22"/>
          </w:rPr>
          <w:t>Tipo reducido del 3% en TPO por inmueble incluido en la transmisión de empresa individual a empleados o parientes</w:t>
        </w:r>
      </w:hyperlink>
    </w:p>
    <w:p w14:paraId="5B8F7D99"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n231" w:history="1">
        <w:r>
          <w:rPr>
            <w:rStyle w:val="Hipervnculo"/>
            <w:b/>
            <w:spacing w:val="6"/>
            <w:sz w:val="22"/>
            <w:szCs w:val="22"/>
          </w:rPr>
          <w:t>Normativa vigente</w:t>
        </w:r>
      </w:hyperlink>
    </w:p>
    <w:p w14:paraId="2AD22D93"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t232" w:history="1">
        <w:r>
          <w:rPr>
            <w:rStyle w:val="Hipervnculo"/>
            <w:b/>
            <w:spacing w:val="6"/>
            <w:sz w:val="22"/>
            <w:szCs w:val="22"/>
          </w:rPr>
          <w:t>Tratamiento notarial</w:t>
        </w:r>
      </w:hyperlink>
    </w:p>
    <w:p w14:paraId="5C2B35D2" w14:textId="77777777" w:rsidR="00EE1145" w:rsidRDefault="00EE1145" w:rsidP="00C854F8">
      <w:pPr>
        <w:numPr>
          <w:ilvl w:val="1"/>
          <w:numId w:val="18"/>
        </w:numPr>
        <w:tabs>
          <w:tab w:val="left" w:pos="851"/>
        </w:tabs>
        <w:spacing w:line="280" w:lineRule="atLeast"/>
        <w:jc w:val="both"/>
        <w:rPr>
          <w:b/>
          <w:spacing w:val="6"/>
          <w:sz w:val="22"/>
          <w:szCs w:val="22"/>
        </w:rPr>
      </w:pPr>
      <w:hyperlink w:anchor="tipo26" w:history="1">
        <w:r>
          <w:rPr>
            <w:rStyle w:val="Hipervnculo"/>
            <w:b/>
            <w:spacing w:val="6"/>
            <w:sz w:val="22"/>
            <w:szCs w:val="22"/>
          </w:rPr>
          <w:t>Tipo reducido del 3% en TPO por determinadas explotaciones agrarias prioritaria</w:t>
        </w:r>
        <w:r w:rsidR="008E0300">
          <w:rPr>
            <w:rStyle w:val="Hipervnculo"/>
            <w:b/>
            <w:spacing w:val="6"/>
            <w:sz w:val="22"/>
            <w:szCs w:val="22"/>
          </w:rPr>
          <w:t>s; y deducción del 100% en la cuota</w:t>
        </w:r>
      </w:hyperlink>
    </w:p>
    <w:p w14:paraId="00BC95D4" w14:textId="77777777" w:rsidR="00EE1145" w:rsidRDefault="00EE1145" w:rsidP="00C854F8">
      <w:pPr>
        <w:numPr>
          <w:ilvl w:val="2"/>
          <w:numId w:val="18"/>
        </w:numPr>
        <w:spacing w:line="280" w:lineRule="atLeast"/>
        <w:jc w:val="both"/>
        <w:rPr>
          <w:b/>
          <w:spacing w:val="6"/>
          <w:sz w:val="22"/>
          <w:szCs w:val="22"/>
        </w:rPr>
      </w:pPr>
      <w:hyperlink w:anchor="nor261" w:history="1">
        <w:r>
          <w:rPr>
            <w:rStyle w:val="Hipervnculo"/>
            <w:b/>
            <w:spacing w:val="6"/>
            <w:sz w:val="22"/>
            <w:szCs w:val="22"/>
          </w:rPr>
          <w:t>Normativa vigente</w:t>
        </w:r>
      </w:hyperlink>
    </w:p>
    <w:p w14:paraId="5DCCA601" w14:textId="77777777" w:rsidR="00EE1145" w:rsidRDefault="00EE1145" w:rsidP="00C854F8">
      <w:pPr>
        <w:numPr>
          <w:ilvl w:val="2"/>
          <w:numId w:val="18"/>
        </w:numPr>
        <w:spacing w:line="280" w:lineRule="atLeast"/>
        <w:jc w:val="both"/>
        <w:rPr>
          <w:b/>
          <w:spacing w:val="6"/>
          <w:sz w:val="22"/>
          <w:szCs w:val="22"/>
        </w:rPr>
      </w:pPr>
      <w:hyperlink w:anchor="tra262" w:history="1">
        <w:r>
          <w:rPr>
            <w:rStyle w:val="Hipervnculo"/>
            <w:b/>
            <w:spacing w:val="6"/>
            <w:sz w:val="22"/>
            <w:szCs w:val="22"/>
          </w:rPr>
          <w:t>Tratamiento notarial</w:t>
        </w:r>
      </w:hyperlink>
    </w:p>
    <w:p w14:paraId="0F0952DA" w14:textId="77777777" w:rsidR="00EE1145" w:rsidRDefault="00EE1145" w:rsidP="00C854F8">
      <w:pPr>
        <w:numPr>
          <w:ilvl w:val="1"/>
          <w:numId w:val="18"/>
        </w:numPr>
        <w:tabs>
          <w:tab w:val="left" w:pos="851"/>
        </w:tabs>
        <w:spacing w:line="280" w:lineRule="atLeast"/>
        <w:jc w:val="both"/>
        <w:rPr>
          <w:b/>
          <w:spacing w:val="6"/>
          <w:sz w:val="22"/>
          <w:szCs w:val="22"/>
        </w:rPr>
      </w:pPr>
      <w:hyperlink w:anchor="tipo26" w:history="1">
        <w:r>
          <w:rPr>
            <w:rStyle w:val="Hipervnculo"/>
            <w:b/>
            <w:spacing w:val="6"/>
            <w:sz w:val="22"/>
            <w:szCs w:val="22"/>
          </w:rPr>
          <w:t>Tipo incrementado del 1,5% en AJD por transmisiones en que SÍ se ejercite la renuncia a la exención de IVA</w:t>
        </w:r>
      </w:hyperlink>
    </w:p>
    <w:p w14:paraId="73BC3601" w14:textId="77777777" w:rsidR="00EE1145" w:rsidRDefault="00EE1145" w:rsidP="00C854F8">
      <w:pPr>
        <w:numPr>
          <w:ilvl w:val="2"/>
          <w:numId w:val="18"/>
        </w:numPr>
        <w:spacing w:line="280" w:lineRule="atLeast"/>
        <w:jc w:val="both"/>
        <w:rPr>
          <w:b/>
          <w:spacing w:val="6"/>
          <w:sz w:val="22"/>
          <w:szCs w:val="22"/>
        </w:rPr>
      </w:pPr>
      <w:hyperlink w:anchor="nor261" w:history="1">
        <w:r>
          <w:rPr>
            <w:rStyle w:val="Hipervnculo"/>
            <w:b/>
            <w:spacing w:val="6"/>
            <w:sz w:val="22"/>
            <w:szCs w:val="22"/>
          </w:rPr>
          <w:t>Normativa vigente</w:t>
        </w:r>
      </w:hyperlink>
    </w:p>
    <w:p w14:paraId="1670C924" w14:textId="77777777" w:rsidR="00EE1145" w:rsidRDefault="00EE1145" w:rsidP="00C854F8">
      <w:pPr>
        <w:numPr>
          <w:ilvl w:val="2"/>
          <w:numId w:val="18"/>
        </w:numPr>
        <w:spacing w:line="280" w:lineRule="atLeast"/>
        <w:jc w:val="both"/>
        <w:rPr>
          <w:b/>
          <w:spacing w:val="6"/>
          <w:sz w:val="22"/>
          <w:szCs w:val="22"/>
        </w:rPr>
      </w:pPr>
      <w:hyperlink w:anchor="tra262" w:history="1">
        <w:r>
          <w:rPr>
            <w:rStyle w:val="Hipervnculo"/>
            <w:b/>
            <w:spacing w:val="6"/>
            <w:sz w:val="22"/>
            <w:szCs w:val="22"/>
          </w:rPr>
          <w:t>Tratamiento notarial</w:t>
        </w:r>
      </w:hyperlink>
    </w:p>
    <w:p w14:paraId="7FE11875" w14:textId="77777777" w:rsidR="00EE1145" w:rsidRDefault="00EE1145" w:rsidP="00C854F8">
      <w:pPr>
        <w:numPr>
          <w:ilvl w:val="1"/>
          <w:numId w:val="18"/>
        </w:numPr>
        <w:tabs>
          <w:tab w:val="left" w:pos="851"/>
        </w:tabs>
        <w:spacing w:line="280" w:lineRule="atLeast"/>
        <w:jc w:val="both"/>
        <w:rPr>
          <w:b/>
          <w:spacing w:val="6"/>
          <w:sz w:val="22"/>
          <w:szCs w:val="22"/>
        </w:rPr>
      </w:pPr>
      <w:hyperlink w:anchor="B4" w:history="1">
        <w:r>
          <w:rPr>
            <w:rStyle w:val="Hipervnculo"/>
            <w:b/>
            <w:spacing w:val="6"/>
            <w:sz w:val="22"/>
            <w:szCs w:val="22"/>
          </w:rPr>
          <w:t>Tipo reducido del 2% en TPO por transmisiones en que NO se ejercite la renuncia a la exención de IVA</w:t>
        </w:r>
      </w:hyperlink>
    </w:p>
    <w:p w14:paraId="79742B0C" w14:textId="77777777" w:rsidR="00EE1145" w:rsidRDefault="00EE1145" w:rsidP="00C854F8">
      <w:pPr>
        <w:numPr>
          <w:ilvl w:val="2"/>
          <w:numId w:val="18"/>
        </w:numPr>
        <w:spacing w:line="280" w:lineRule="atLeast"/>
        <w:jc w:val="both"/>
        <w:rPr>
          <w:b/>
          <w:spacing w:val="6"/>
          <w:sz w:val="22"/>
          <w:szCs w:val="22"/>
        </w:rPr>
      </w:pPr>
      <w:hyperlink w:anchor="n241" w:history="1">
        <w:r>
          <w:rPr>
            <w:rStyle w:val="Hipervnculo"/>
            <w:b/>
            <w:spacing w:val="6"/>
            <w:sz w:val="22"/>
            <w:szCs w:val="22"/>
          </w:rPr>
          <w:t>Normativa vigente</w:t>
        </w:r>
      </w:hyperlink>
    </w:p>
    <w:p w14:paraId="78A476F3" w14:textId="77777777" w:rsidR="00EE1145" w:rsidRDefault="00EE1145" w:rsidP="00C854F8">
      <w:pPr>
        <w:numPr>
          <w:ilvl w:val="2"/>
          <w:numId w:val="18"/>
        </w:numPr>
        <w:spacing w:line="280" w:lineRule="atLeast"/>
        <w:jc w:val="both"/>
        <w:rPr>
          <w:b/>
          <w:spacing w:val="6"/>
          <w:sz w:val="22"/>
          <w:szCs w:val="22"/>
        </w:rPr>
      </w:pPr>
      <w:hyperlink w:anchor="TRA272" w:history="1">
        <w:r>
          <w:rPr>
            <w:rStyle w:val="Hipervnculo"/>
            <w:b/>
            <w:spacing w:val="6"/>
            <w:sz w:val="22"/>
            <w:szCs w:val="22"/>
          </w:rPr>
          <w:t>Tratamiento notarial</w:t>
        </w:r>
      </w:hyperlink>
    </w:p>
    <w:p w14:paraId="58743167" w14:textId="77777777" w:rsidR="00150A45" w:rsidRDefault="00150A45" w:rsidP="00C854F8">
      <w:pPr>
        <w:numPr>
          <w:ilvl w:val="1"/>
          <w:numId w:val="18"/>
        </w:numPr>
        <w:tabs>
          <w:tab w:val="left" w:pos="851"/>
        </w:tabs>
        <w:spacing w:line="280" w:lineRule="atLeast"/>
        <w:jc w:val="both"/>
        <w:rPr>
          <w:b/>
          <w:spacing w:val="6"/>
          <w:sz w:val="22"/>
          <w:szCs w:val="22"/>
        </w:rPr>
      </w:pPr>
      <w:hyperlink w:anchor="tipo29" w:history="1">
        <w:r w:rsidRPr="00D37E44">
          <w:rPr>
            <w:rStyle w:val="Hipervnculo"/>
            <w:b/>
            <w:spacing w:val="6"/>
            <w:sz w:val="22"/>
            <w:szCs w:val="22"/>
          </w:rPr>
          <w:t xml:space="preserve">Tipo del 1,5% en AJD </w:t>
        </w:r>
        <w:r w:rsidR="005A0EAC" w:rsidRPr="00D37E44">
          <w:rPr>
            <w:rStyle w:val="Hipervnculo"/>
            <w:b/>
            <w:spacing w:val="6"/>
            <w:sz w:val="22"/>
            <w:szCs w:val="22"/>
          </w:rPr>
          <w:t>para</w:t>
        </w:r>
        <w:r w:rsidRPr="00D37E44">
          <w:rPr>
            <w:rStyle w:val="Hipervnculo"/>
            <w:b/>
            <w:spacing w:val="6"/>
            <w:sz w:val="22"/>
            <w:szCs w:val="22"/>
          </w:rPr>
          <w:t xml:space="preserve"> préstamos hipotecarios (desde el 01/01/2019)</w:t>
        </w:r>
      </w:hyperlink>
    </w:p>
    <w:p w14:paraId="7C981042" w14:textId="77777777" w:rsidR="00EE1145" w:rsidRDefault="00EE1145" w:rsidP="00C854F8">
      <w:pPr>
        <w:numPr>
          <w:ilvl w:val="1"/>
          <w:numId w:val="18"/>
        </w:numPr>
        <w:tabs>
          <w:tab w:val="left" w:pos="851"/>
        </w:tabs>
        <w:spacing w:after="120" w:line="280" w:lineRule="atLeast"/>
        <w:ind w:left="788" w:hanging="431"/>
        <w:jc w:val="both"/>
        <w:rPr>
          <w:b/>
          <w:spacing w:val="6"/>
          <w:sz w:val="22"/>
          <w:szCs w:val="22"/>
        </w:rPr>
      </w:pPr>
      <w:hyperlink w:anchor="B12" w:history="1">
        <w:r>
          <w:rPr>
            <w:rStyle w:val="Hipervnculo"/>
            <w:b/>
            <w:spacing w:val="6"/>
            <w:sz w:val="22"/>
            <w:szCs w:val="22"/>
          </w:rPr>
          <w:t>Otros beneficios fiscales: obra nueva, división horizontal y transmisiones destinadas a arrendamiento para vivienda habitual; sociedades de garantía recíproc</w:t>
        </w:r>
        <w:r w:rsidR="00381640">
          <w:rPr>
            <w:rStyle w:val="Hipervnculo"/>
            <w:b/>
            <w:spacing w:val="6"/>
            <w:sz w:val="22"/>
            <w:szCs w:val="22"/>
          </w:rPr>
          <w:t>a; empresas públicas</w:t>
        </w:r>
      </w:hyperlink>
    </w:p>
    <w:p w14:paraId="70B4BDFE" w14:textId="77777777" w:rsidR="00EE1145" w:rsidRDefault="00EE1145" w:rsidP="00C854F8">
      <w:pPr>
        <w:numPr>
          <w:ilvl w:val="0"/>
          <w:numId w:val="18"/>
        </w:numPr>
        <w:spacing w:line="280" w:lineRule="atLeast"/>
        <w:jc w:val="both"/>
        <w:rPr>
          <w:b/>
          <w:spacing w:val="6"/>
          <w:sz w:val="22"/>
          <w:szCs w:val="22"/>
        </w:rPr>
      </w:pPr>
      <w:hyperlink w:anchor="C" w:history="1">
        <w:r>
          <w:rPr>
            <w:rStyle w:val="Hipervnculo"/>
            <w:b/>
            <w:spacing w:val="6"/>
            <w:sz w:val="22"/>
            <w:szCs w:val="22"/>
          </w:rPr>
          <w:t>IMPUESTO SOBRE DONACIONES</w:t>
        </w:r>
      </w:hyperlink>
    </w:p>
    <w:p w14:paraId="60E9A997" w14:textId="77777777" w:rsidR="00721CE8" w:rsidRDefault="00721CE8" w:rsidP="00C854F8">
      <w:pPr>
        <w:numPr>
          <w:ilvl w:val="1"/>
          <w:numId w:val="18"/>
        </w:numPr>
        <w:spacing w:line="280" w:lineRule="atLeast"/>
        <w:jc w:val="both"/>
        <w:rPr>
          <w:b/>
          <w:spacing w:val="6"/>
          <w:sz w:val="22"/>
          <w:szCs w:val="22"/>
        </w:rPr>
      </w:pPr>
      <w:hyperlink w:anchor="comunes" w:history="1">
        <w:r w:rsidRPr="00EB04B5">
          <w:rPr>
            <w:rStyle w:val="Hipervnculo"/>
            <w:b/>
            <w:spacing w:val="6"/>
            <w:sz w:val="22"/>
            <w:szCs w:val="22"/>
          </w:rPr>
          <w:t>Consideraciones</w:t>
        </w:r>
        <w:r w:rsidR="00F60B52">
          <w:rPr>
            <w:rStyle w:val="Hipervnculo"/>
            <w:b/>
            <w:spacing w:val="6"/>
            <w:sz w:val="22"/>
            <w:szCs w:val="22"/>
          </w:rPr>
          <w:t xml:space="preserve"> generales</w:t>
        </w:r>
      </w:hyperlink>
      <w:r w:rsidR="00842FE0">
        <w:rPr>
          <w:b/>
          <w:spacing w:val="6"/>
          <w:sz w:val="22"/>
          <w:szCs w:val="22"/>
        </w:rPr>
        <w:t xml:space="preserve">: </w:t>
      </w:r>
      <w:hyperlink w:anchor="transfronterizas" w:history="1">
        <w:r w:rsidR="00842FE0" w:rsidRPr="00842FE0">
          <w:rPr>
            <w:rStyle w:val="Hipervnculo"/>
            <w:b/>
            <w:spacing w:val="6"/>
            <w:sz w:val="22"/>
            <w:szCs w:val="22"/>
          </w:rPr>
          <w:t>conflictos transfronterizos</w:t>
        </w:r>
      </w:hyperlink>
      <w:r w:rsidR="00842FE0">
        <w:rPr>
          <w:b/>
          <w:spacing w:val="6"/>
          <w:sz w:val="22"/>
          <w:szCs w:val="22"/>
        </w:rPr>
        <w:t xml:space="preserve"> e </w:t>
      </w:r>
      <w:hyperlink w:anchor="interregionales" w:history="1">
        <w:r w:rsidR="00842FE0" w:rsidRPr="006E41D8">
          <w:rPr>
            <w:rStyle w:val="Hipervnculo"/>
            <w:b/>
            <w:spacing w:val="6"/>
            <w:sz w:val="22"/>
            <w:szCs w:val="22"/>
          </w:rPr>
          <w:t>interregionales</w:t>
        </w:r>
      </w:hyperlink>
      <w:r w:rsidR="00842FE0">
        <w:rPr>
          <w:b/>
          <w:spacing w:val="6"/>
          <w:sz w:val="22"/>
          <w:szCs w:val="22"/>
        </w:rPr>
        <w:t xml:space="preserve">, </w:t>
      </w:r>
      <w:hyperlink w:anchor="referencia" w:history="1">
        <w:r w:rsidR="002552CC" w:rsidRPr="00C65E59">
          <w:rPr>
            <w:rStyle w:val="Hipervnculo"/>
            <w:b/>
            <w:spacing w:val="6"/>
            <w:sz w:val="22"/>
            <w:szCs w:val="22"/>
          </w:rPr>
          <w:t>aplica</w:t>
        </w:r>
        <w:r w:rsidR="00C65E59" w:rsidRPr="00C65E59">
          <w:rPr>
            <w:rStyle w:val="Hipervnculo"/>
            <w:b/>
            <w:spacing w:val="6"/>
            <w:sz w:val="22"/>
            <w:szCs w:val="22"/>
          </w:rPr>
          <w:t>bilidad</w:t>
        </w:r>
        <w:r w:rsidR="002552CC" w:rsidRPr="00C65E59">
          <w:rPr>
            <w:rStyle w:val="Hipervnculo"/>
            <w:b/>
            <w:spacing w:val="6"/>
            <w:sz w:val="22"/>
            <w:szCs w:val="22"/>
          </w:rPr>
          <w:t xml:space="preserve"> del valor de referencia</w:t>
        </w:r>
      </w:hyperlink>
      <w:r w:rsidR="002552CC">
        <w:rPr>
          <w:b/>
          <w:spacing w:val="6"/>
          <w:sz w:val="22"/>
          <w:szCs w:val="22"/>
        </w:rPr>
        <w:t xml:space="preserve">, </w:t>
      </w:r>
      <w:hyperlink w:anchor="gananciales" w:history="1">
        <w:r w:rsidR="002552CC" w:rsidRPr="000D686E">
          <w:rPr>
            <w:rStyle w:val="Hipervnculo"/>
            <w:b/>
            <w:spacing w:val="6"/>
            <w:sz w:val="22"/>
            <w:szCs w:val="22"/>
          </w:rPr>
          <w:t>donaciones de bienes gananciales</w:t>
        </w:r>
      </w:hyperlink>
      <w:r w:rsidR="002552CC">
        <w:rPr>
          <w:b/>
          <w:spacing w:val="6"/>
          <w:sz w:val="22"/>
          <w:szCs w:val="22"/>
        </w:rPr>
        <w:t>,</w:t>
      </w:r>
      <w:r w:rsidR="000D686E">
        <w:rPr>
          <w:b/>
          <w:spacing w:val="6"/>
          <w:sz w:val="22"/>
          <w:szCs w:val="22"/>
        </w:rPr>
        <w:t xml:space="preserve"> </w:t>
      </w:r>
      <w:hyperlink w:anchor="onerosas" w:history="1">
        <w:r w:rsidR="000D686E" w:rsidRPr="00F15A01">
          <w:rPr>
            <w:rStyle w:val="Hipervnculo"/>
            <w:b/>
            <w:spacing w:val="6"/>
            <w:sz w:val="22"/>
            <w:szCs w:val="22"/>
          </w:rPr>
          <w:t>donaciones onerosas</w:t>
        </w:r>
      </w:hyperlink>
      <w:r w:rsidR="00F15A01">
        <w:rPr>
          <w:b/>
          <w:spacing w:val="6"/>
          <w:sz w:val="22"/>
          <w:szCs w:val="22"/>
        </w:rPr>
        <w:t xml:space="preserve">, </w:t>
      </w:r>
      <w:hyperlink w:anchor="ganancia" w:history="1">
        <w:r w:rsidR="00F15A01" w:rsidRPr="008865FE">
          <w:rPr>
            <w:rStyle w:val="Hipervnculo"/>
            <w:b/>
            <w:spacing w:val="6"/>
            <w:sz w:val="22"/>
            <w:szCs w:val="22"/>
          </w:rPr>
          <w:t>ganancia y ¿pérdida? en el IRPF</w:t>
        </w:r>
      </w:hyperlink>
      <w:r w:rsidR="00F15A01">
        <w:rPr>
          <w:b/>
          <w:spacing w:val="6"/>
          <w:sz w:val="22"/>
          <w:szCs w:val="22"/>
        </w:rPr>
        <w:t xml:space="preserve">, </w:t>
      </w:r>
      <w:hyperlink w:anchor="plusvalía" w:history="1">
        <w:r w:rsidR="008865FE" w:rsidRPr="00823633">
          <w:rPr>
            <w:rStyle w:val="Hipervnculo"/>
            <w:b/>
            <w:spacing w:val="6"/>
            <w:sz w:val="22"/>
            <w:szCs w:val="22"/>
          </w:rPr>
          <w:t>plusvalía municipal</w:t>
        </w:r>
      </w:hyperlink>
      <w:r w:rsidR="008865FE">
        <w:rPr>
          <w:b/>
          <w:spacing w:val="6"/>
          <w:sz w:val="22"/>
          <w:szCs w:val="22"/>
        </w:rPr>
        <w:t>,</w:t>
      </w:r>
      <w:r w:rsidR="00823633">
        <w:rPr>
          <w:b/>
          <w:spacing w:val="6"/>
          <w:sz w:val="22"/>
          <w:szCs w:val="22"/>
        </w:rPr>
        <w:t xml:space="preserve"> </w:t>
      </w:r>
      <w:hyperlink w:anchor="usufructo" w:history="1">
        <w:r w:rsidR="00823633" w:rsidRPr="00823633">
          <w:rPr>
            <w:rStyle w:val="Hipervnculo"/>
            <w:b/>
            <w:spacing w:val="6"/>
            <w:sz w:val="22"/>
            <w:szCs w:val="22"/>
          </w:rPr>
          <w:t>donación o renuncia de usufructo</w:t>
        </w:r>
      </w:hyperlink>
      <w:r w:rsidR="00823633">
        <w:rPr>
          <w:b/>
          <w:spacing w:val="6"/>
          <w:sz w:val="22"/>
          <w:szCs w:val="22"/>
        </w:rPr>
        <w:t xml:space="preserve">, </w:t>
      </w:r>
      <w:hyperlink w:anchor="recoinocimiento" w:history="1">
        <w:r w:rsidR="00823633" w:rsidRPr="00B03469">
          <w:rPr>
            <w:rStyle w:val="Hipervnculo"/>
            <w:b/>
            <w:spacing w:val="6"/>
            <w:sz w:val="22"/>
            <w:szCs w:val="22"/>
          </w:rPr>
          <w:t>reconocimiento de deuda</w:t>
        </w:r>
      </w:hyperlink>
      <w:r w:rsidR="00823633">
        <w:rPr>
          <w:b/>
          <w:spacing w:val="6"/>
          <w:sz w:val="22"/>
          <w:szCs w:val="22"/>
        </w:rPr>
        <w:t xml:space="preserve">, </w:t>
      </w:r>
      <w:hyperlink w:anchor="acumulación" w:history="1">
        <w:r w:rsidR="00823633" w:rsidRPr="00B03469">
          <w:rPr>
            <w:rStyle w:val="Hipervnculo"/>
            <w:b/>
            <w:spacing w:val="6"/>
            <w:sz w:val="22"/>
            <w:szCs w:val="22"/>
          </w:rPr>
          <w:t>acumulación</w:t>
        </w:r>
      </w:hyperlink>
      <w:r w:rsidR="008865FE">
        <w:rPr>
          <w:b/>
          <w:spacing w:val="6"/>
          <w:sz w:val="22"/>
          <w:szCs w:val="22"/>
        </w:rPr>
        <w:t xml:space="preserve"> </w:t>
      </w:r>
    </w:p>
    <w:p w14:paraId="7F1BEA7B" w14:textId="77777777" w:rsidR="00EE1145" w:rsidRDefault="00EE1145" w:rsidP="00C854F8">
      <w:pPr>
        <w:numPr>
          <w:ilvl w:val="1"/>
          <w:numId w:val="18"/>
        </w:numPr>
        <w:spacing w:line="280" w:lineRule="atLeast"/>
        <w:jc w:val="both"/>
        <w:rPr>
          <w:b/>
          <w:spacing w:val="6"/>
          <w:sz w:val="22"/>
          <w:szCs w:val="22"/>
        </w:rPr>
      </w:pPr>
      <w:hyperlink w:anchor="C1" w:history="1">
        <w:r>
          <w:rPr>
            <w:rStyle w:val="Hipervnculo"/>
            <w:b/>
            <w:spacing w:val="6"/>
            <w:sz w:val="22"/>
            <w:szCs w:val="22"/>
          </w:rPr>
          <w:t>Reducción del 95% para descendientes jóvenes o discapacitados por donación dineraria destinada a primera vivienda habitual protegida</w:t>
        </w:r>
      </w:hyperlink>
    </w:p>
    <w:p w14:paraId="6CFF6EB6"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n311" w:history="1">
        <w:r>
          <w:rPr>
            <w:rStyle w:val="Hipervnculo"/>
            <w:b/>
            <w:spacing w:val="6"/>
            <w:sz w:val="22"/>
            <w:szCs w:val="22"/>
          </w:rPr>
          <w:t>Normativa vigente</w:t>
        </w:r>
      </w:hyperlink>
    </w:p>
    <w:p w14:paraId="1E472A0A"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t312" w:history="1">
        <w:r>
          <w:rPr>
            <w:rStyle w:val="Hipervnculo"/>
            <w:b/>
            <w:spacing w:val="6"/>
            <w:sz w:val="22"/>
            <w:szCs w:val="22"/>
          </w:rPr>
          <w:t>Tratamiento notarial</w:t>
        </w:r>
      </w:hyperlink>
    </w:p>
    <w:p w14:paraId="2B248718" w14:textId="77777777" w:rsidR="00EE1145" w:rsidRDefault="00EE1145" w:rsidP="00C854F8">
      <w:pPr>
        <w:numPr>
          <w:ilvl w:val="1"/>
          <w:numId w:val="18"/>
        </w:numPr>
        <w:spacing w:line="280" w:lineRule="atLeast"/>
        <w:jc w:val="both"/>
        <w:rPr>
          <w:b/>
          <w:spacing w:val="6"/>
          <w:sz w:val="22"/>
          <w:szCs w:val="22"/>
        </w:rPr>
      </w:pPr>
      <w:hyperlink w:anchor="C6" w:history="1">
        <w:r>
          <w:rPr>
            <w:rStyle w:val="Hipervnculo"/>
            <w:b/>
            <w:spacing w:val="6"/>
            <w:sz w:val="22"/>
            <w:szCs w:val="22"/>
          </w:rPr>
          <w:t>Cuota íntegra</w:t>
        </w:r>
      </w:hyperlink>
    </w:p>
    <w:p w14:paraId="335F65CE" w14:textId="77777777" w:rsidR="00377B17" w:rsidRDefault="00377B17" w:rsidP="00C854F8">
      <w:pPr>
        <w:numPr>
          <w:ilvl w:val="1"/>
          <w:numId w:val="18"/>
        </w:numPr>
        <w:spacing w:line="280" w:lineRule="atLeast"/>
        <w:jc w:val="both"/>
        <w:rPr>
          <w:b/>
          <w:spacing w:val="6"/>
          <w:sz w:val="22"/>
          <w:szCs w:val="22"/>
        </w:rPr>
      </w:pPr>
      <w:hyperlink w:anchor="Cuota2018" w:history="1">
        <w:r w:rsidRPr="00D32772">
          <w:rPr>
            <w:rStyle w:val="Hipervnculo"/>
            <w:b/>
            <w:spacing w:val="6"/>
            <w:sz w:val="22"/>
            <w:szCs w:val="22"/>
          </w:rPr>
          <w:t>Cuota íntegra Grupos I y II (a partir del 1 de enero de 2018)</w:t>
        </w:r>
      </w:hyperlink>
    </w:p>
    <w:p w14:paraId="6DD1719D" w14:textId="77777777" w:rsidR="007B13C2" w:rsidRDefault="007B13C2" w:rsidP="00C854F8">
      <w:pPr>
        <w:numPr>
          <w:ilvl w:val="2"/>
          <w:numId w:val="18"/>
        </w:numPr>
        <w:tabs>
          <w:tab w:val="clear" w:pos="1440"/>
          <w:tab w:val="num" w:pos="1276"/>
        </w:tabs>
        <w:spacing w:line="280" w:lineRule="atLeast"/>
        <w:jc w:val="both"/>
        <w:rPr>
          <w:b/>
          <w:spacing w:val="6"/>
          <w:sz w:val="22"/>
          <w:szCs w:val="22"/>
        </w:rPr>
      </w:pPr>
      <w:hyperlink w:anchor="normativa331" w:history="1">
        <w:r w:rsidRPr="00796C40">
          <w:rPr>
            <w:rStyle w:val="Hipervnculo"/>
            <w:b/>
            <w:spacing w:val="6"/>
            <w:sz w:val="22"/>
            <w:szCs w:val="22"/>
          </w:rPr>
          <w:t>Normativa</w:t>
        </w:r>
        <w:r w:rsidR="00110DBB">
          <w:rPr>
            <w:rStyle w:val="Hipervnculo"/>
            <w:b/>
            <w:spacing w:val="6"/>
            <w:sz w:val="22"/>
            <w:szCs w:val="22"/>
          </w:rPr>
          <w:t xml:space="preserve"> entre 2018 y 2023</w:t>
        </w:r>
      </w:hyperlink>
    </w:p>
    <w:p w14:paraId="170095D0" w14:textId="77777777" w:rsidR="00110DBB" w:rsidRDefault="00110DBB" w:rsidP="00C854F8">
      <w:pPr>
        <w:numPr>
          <w:ilvl w:val="2"/>
          <w:numId w:val="18"/>
        </w:numPr>
        <w:tabs>
          <w:tab w:val="clear" w:pos="1440"/>
          <w:tab w:val="num" w:pos="1276"/>
        </w:tabs>
        <w:spacing w:line="280" w:lineRule="atLeast"/>
        <w:jc w:val="both"/>
        <w:rPr>
          <w:b/>
          <w:spacing w:val="6"/>
          <w:sz w:val="22"/>
          <w:szCs w:val="22"/>
        </w:rPr>
      </w:pPr>
      <w:hyperlink w:anchor="Normativa2024" w:history="1">
        <w:r w:rsidRPr="00AA7146">
          <w:rPr>
            <w:rStyle w:val="Hipervnculo"/>
            <w:b/>
            <w:spacing w:val="6"/>
            <w:sz w:val="22"/>
            <w:szCs w:val="22"/>
          </w:rPr>
          <w:t>Normativa a partir del 1 de enero de 2024</w:t>
        </w:r>
      </w:hyperlink>
    </w:p>
    <w:p w14:paraId="0C80171F" w14:textId="77777777" w:rsidR="00A31D14" w:rsidRDefault="00A31D14" w:rsidP="00C854F8">
      <w:pPr>
        <w:numPr>
          <w:ilvl w:val="2"/>
          <w:numId w:val="18"/>
        </w:numPr>
        <w:tabs>
          <w:tab w:val="clear" w:pos="1440"/>
          <w:tab w:val="num" w:pos="1276"/>
        </w:tabs>
        <w:spacing w:line="280" w:lineRule="atLeast"/>
        <w:jc w:val="both"/>
        <w:rPr>
          <w:b/>
          <w:spacing w:val="6"/>
          <w:sz w:val="22"/>
          <w:szCs w:val="22"/>
        </w:rPr>
      </w:pPr>
      <w:hyperlink w:anchor="Consideracionesespecíficas" w:history="1">
        <w:r w:rsidRPr="00426D8C">
          <w:rPr>
            <w:rStyle w:val="Hipervnculo"/>
            <w:b/>
            <w:spacing w:val="6"/>
            <w:sz w:val="22"/>
            <w:szCs w:val="22"/>
          </w:rPr>
          <w:t>Consideraciones</w:t>
        </w:r>
        <w:r w:rsidR="009734A9" w:rsidRPr="00426D8C">
          <w:rPr>
            <w:rStyle w:val="Hipervnculo"/>
            <w:b/>
            <w:spacing w:val="6"/>
            <w:sz w:val="22"/>
            <w:szCs w:val="22"/>
          </w:rPr>
          <w:t xml:space="preserve"> específicas</w:t>
        </w:r>
      </w:hyperlink>
    </w:p>
    <w:p w14:paraId="2903A979" w14:textId="77777777" w:rsidR="007B13C2" w:rsidRDefault="007B13C2" w:rsidP="00C854F8">
      <w:pPr>
        <w:numPr>
          <w:ilvl w:val="2"/>
          <w:numId w:val="18"/>
        </w:numPr>
        <w:tabs>
          <w:tab w:val="clear" w:pos="1440"/>
          <w:tab w:val="num" w:pos="1276"/>
        </w:tabs>
        <w:spacing w:line="280" w:lineRule="atLeast"/>
        <w:jc w:val="both"/>
        <w:rPr>
          <w:b/>
          <w:spacing w:val="6"/>
          <w:sz w:val="22"/>
          <w:szCs w:val="22"/>
        </w:rPr>
      </w:pPr>
      <w:hyperlink w:anchor="tratamiento332" w:history="1">
        <w:r w:rsidRPr="00796C40">
          <w:rPr>
            <w:rStyle w:val="Hipervnculo"/>
            <w:b/>
            <w:spacing w:val="6"/>
            <w:sz w:val="22"/>
            <w:szCs w:val="22"/>
          </w:rPr>
          <w:t>Tratamiento notarial</w:t>
        </w:r>
      </w:hyperlink>
    </w:p>
    <w:p w14:paraId="0C895D0E" w14:textId="77777777" w:rsidR="00EE1145" w:rsidRDefault="00EE1145" w:rsidP="00C854F8">
      <w:pPr>
        <w:numPr>
          <w:ilvl w:val="1"/>
          <w:numId w:val="18"/>
        </w:numPr>
        <w:spacing w:after="120" w:line="280" w:lineRule="atLeast"/>
        <w:jc w:val="both"/>
        <w:rPr>
          <w:b/>
          <w:spacing w:val="6"/>
          <w:sz w:val="22"/>
          <w:szCs w:val="22"/>
        </w:rPr>
      </w:pPr>
      <w:hyperlink w:anchor="Otros33" w:history="1">
        <w:r>
          <w:rPr>
            <w:rStyle w:val="Hipervnculo"/>
            <w:b/>
            <w:spacing w:val="6"/>
            <w:sz w:val="22"/>
            <w:szCs w:val="22"/>
          </w:rPr>
          <w:t>Otros beneficios fiscales (a partir del 1 de enero de 2018): patrimonio empresarial, profesional y agrario</w:t>
        </w:r>
      </w:hyperlink>
    </w:p>
    <w:p w14:paraId="0CC38A40" w14:textId="77777777" w:rsidR="00EE1145" w:rsidRDefault="00EE1145" w:rsidP="00C854F8">
      <w:pPr>
        <w:numPr>
          <w:ilvl w:val="0"/>
          <w:numId w:val="18"/>
        </w:numPr>
        <w:spacing w:line="280" w:lineRule="atLeast"/>
        <w:jc w:val="both"/>
        <w:rPr>
          <w:b/>
          <w:spacing w:val="6"/>
          <w:sz w:val="22"/>
          <w:szCs w:val="22"/>
        </w:rPr>
      </w:pPr>
      <w:hyperlink w:anchor="D" w:history="1">
        <w:r>
          <w:rPr>
            <w:rStyle w:val="Hipervnculo"/>
            <w:b/>
            <w:spacing w:val="6"/>
            <w:sz w:val="22"/>
            <w:szCs w:val="22"/>
          </w:rPr>
          <w:t>IMPUESTO SOBRE SUCESIONES</w:t>
        </w:r>
      </w:hyperlink>
    </w:p>
    <w:p w14:paraId="449B7A83" w14:textId="77777777" w:rsidR="00EE1145" w:rsidRDefault="00EE1145" w:rsidP="00C854F8">
      <w:pPr>
        <w:numPr>
          <w:ilvl w:val="1"/>
          <w:numId w:val="18"/>
        </w:numPr>
        <w:spacing w:line="280" w:lineRule="atLeast"/>
        <w:jc w:val="both"/>
        <w:rPr>
          <w:b/>
          <w:spacing w:val="6"/>
          <w:sz w:val="22"/>
          <w:szCs w:val="22"/>
        </w:rPr>
      </w:pPr>
      <w:hyperlink w:anchor="resumen" w:history="1">
        <w:r>
          <w:rPr>
            <w:rStyle w:val="Hipervnculo"/>
            <w:b/>
            <w:spacing w:val="6"/>
            <w:sz w:val="22"/>
            <w:szCs w:val="22"/>
          </w:rPr>
          <w:t>Resumen para parientes próximos</w:t>
        </w:r>
      </w:hyperlink>
    </w:p>
    <w:p w14:paraId="1BB7D573" w14:textId="77777777" w:rsidR="00EE1145" w:rsidRDefault="00EE1145" w:rsidP="00C854F8">
      <w:pPr>
        <w:numPr>
          <w:ilvl w:val="1"/>
          <w:numId w:val="18"/>
        </w:numPr>
        <w:spacing w:line="280" w:lineRule="atLeast"/>
        <w:jc w:val="both"/>
        <w:rPr>
          <w:b/>
          <w:spacing w:val="6"/>
          <w:sz w:val="22"/>
          <w:szCs w:val="22"/>
        </w:rPr>
      </w:pPr>
      <w:hyperlink w:anchor="cla" w:history="1">
        <w:r>
          <w:rPr>
            <w:rStyle w:val="Hipervnculo"/>
            <w:b/>
            <w:spacing w:val="6"/>
            <w:sz w:val="22"/>
            <w:szCs w:val="22"/>
          </w:rPr>
          <w:t>Cláusula general</w:t>
        </w:r>
      </w:hyperlink>
    </w:p>
    <w:p w14:paraId="768458CB" w14:textId="77777777" w:rsidR="00EE1145" w:rsidRDefault="00EE1145" w:rsidP="00C854F8">
      <w:pPr>
        <w:numPr>
          <w:ilvl w:val="1"/>
          <w:numId w:val="18"/>
        </w:numPr>
        <w:spacing w:line="280" w:lineRule="atLeast"/>
        <w:jc w:val="both"/>
        <w:rPr>
          <w:b/>
          <w:spacing w:val="6"/>
          <w:sz w:val="22"/>
          <w:szCs w:val="22"/>
        </w:rPr>
      </w:pPr>
      <w:hyperlink w:anchor="parentesco" w:history="1">
        <w:r>
          <w:rPr>
            <w:rStyle w:val="Hipervnculo"/>
            <w:b/>
            <w:spacing w:val="6"/>
            <w:sz w:val="22"/>
            <w:szCs w:val="22"/>
          </w:rPr>
          <w:t>Reducción en la base imponible para Grupos I y II</w:t>
        </w:r>
      </w:hyperlink>
    </w:p>
    <w:p w14:paraId="4E4F508B"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red411" w:history="1">
        <w:r>
          <w:rPr>
            <w:rStyle w:val="Hipervnculo"/>
            <w:b/>
            <w:spacing w:val="6"/>
            <w:sz w:val="22"/>
            <w:szCs w:val="22"/>
          </w:rPr>
          <w:t>Reducción en la base imponible por razón de parentesco con el causante: desde el 01/01/2017 hasta el 31/05/2017 es de 200.000 €</w:t>
        </w:r>
      </w:hyperlink>
    </w:p>
    <w:p w14:paraId="53D1B472"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red412" w:history="1">
        <w:r>
          <w:rPr>
            <w:rStyle w:val="Hipervnculo"/>
            <w:b/>
            <w:spacing w:val="6"/>
            <w:sz w:val="22"/>
            <w:szCs w:val="22"/>
          </w:rPr>
          <w:t>Reducción en la base imponible por razón de parentesco con el causante: desde el 1/06/2017 es de 300.000 €</w:t>
        </w:r>
      </w:hyperlink>
    </w:p>
    <w:p w14:paraId="2F044BFD"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tra413" w:history="1">
        <w:r>
          <w:rPr>
            <w:rStyle w:val="Hipervnculo"/>
            <w:b/>
            <w:spacing w:val="6"/>
            <w:sz w:val="22"/>
            <w:szCs w:val="22"/>
          </w:rPr>
          <w:t>Tratamiento notarial</w:t>
        </w:r>
      </w:hyperlink>
    </w:p>
    <w:p w14:paraId="52E3E2D4" w14:textId="77777777" w:rsidR="00EE1145" w:rsidRDefault="00EE1145" w:rsidP="00C854F8">
      <w:pPr>
        <w:numPr>
          <w:ilvl w:val="1"/>
          <w:numId w:val="18"/>
        </w:numPr>
        <w:spacing w:line="280" w:lineRule="atLeast"/>
        <w:jc w:val="both"/>
        <w:rPr>
          <w:b/>
          <w:spacing w:val="6"/>
          <w:sz w:val="22"/>
          <w:szCs w:val="22"/>
        </w:rPr>
      </w:pPr>
      <w:hyperlink w:anchor="D3" w:history="1">
        <w:r>
          <w:rPr>
            <w:rStyle w:val="Hipervnculo"/>
            <w:b/>
            <w:spacing w:val="6"/>
            <w:sz w:val="22"/>
            <w:szCs w:val="22"/>
          </w:rPr>
          <w:t>Reducción en la base imponible por la vivienda habitual del causante</w:t>
        </w:r>
      </w:hyperlink>
    </w:p>
    <w:p w14:paraId="0B81C885" w14:textId="77777777" w:rsidR="00EE1145" w:rsidRDefault="00EE1145" w:rsidP="00C854F8">
      <w:pPr>
        <w:numPr>
          <w:ilvl w:val="2"/>
          <w:numId w:val="18"/>
        </w:numPr>
        <w:tabs>
          <w:tab w:val="clear" w:pos="1440"/>
          <w:tab w:val="num" w:pos="1134"/>
          <w:tab w:val="left" w:pos="1276"/>
        </w:tabs>
        <w:spacing w:line="280" w:lineRule="atLeast"/>
        <w:jc w:val="both"/>
        <w:rPr>
          <w:b/>
          <w:spacing w:val="6"/>
          <w:sz w:val="22"/>
          <w:szCs w:val="22"/>
        </w:rPr>
      </w:pPr>
      <w:hyperlink w:anchor="l431" w:history="1">
        <w:r>
          <w:rPr>
            <w:rStyle w:val="Hipervnculo"/>
            <w:b/>
            <w:spacing w:val="6"/>
            <w:sz w:val="22"/>
            <w:szCs w:val="22"/>
          </w:rPr>
          <w:t>Legislación, vigor y reseña de su contenido</w:t>
        </w:r>
      </w:hyperlink>
    </w:p>
    <w:p w14:paraId="0CF64034"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t432" w:history="1">
        <w:r>
          <w:rPr>
            <w:rStyle w:val="Hipervnculo"/>
            <w:b/>
            <w:spacing w:val="6"/>
            <w:sz w:val="22"/>
            <w:szCs w:val="22"/>
          </w:rPr>
          <w:t>Tratamiento notarial</w:t>
        </w:r>
      </w:hyperlink>
    </w:p>
    <w:p w14:paraId="5E09D2F8" w14:textId="77777777" w:rsidR="00EE1145" w:rsidRDefault="00EE1145" w:rsidP="00C854F8">
      <w:pPr>
        <w:numPr>
          <w:ilvl w:val="1"/>
          <w:numId w:val="18"/>
        </w:numPr>
        <w:spacing w:line="280" w:lineRule="atLeast"/>
        <w:jc w:val="both"/>
        <w:rPr>
          <w:b/>
          <w:spacing w:val="6"/>
          <w:sz w:val="22"/>
          <w:szCs w:val="22"/>
        </w:rPr>
      </w:pPr>
      <w:hyperlink w:anchor="D4" w:history="1">
        <w:r>
          <w:rPr>
            <w:rStyle w:val="Hipervnculo"/>
            <w:b/>
            <w:spacing w:val="6"/>
            <w:sz w:val="22"/>
            <w:szCs w:val="22"/>
          </w:rPr>
          <w:t>Reducción adicional del 4% (a la estatal del 95%) en la base imponible por patrimonio empresarial del causante en favor de parientes</w:t>
        </w:r>
      </w:hyperlink>
    </w:p>
    <w:p w14:paraId="39EF6A42"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l441" w:history="1">
        <w:r>
          <w:rPr>
            <w:rStyle w:val="Hipervnculo"/>
            <w:b/>
            <w:spacing w:val="6"/>
            <w:sz w:val="22"/>
            <w:szCs w:val="22"/>
          </w:rPr>
          <w:t>Legislación, vigor y reseña de su contenido</w:t>
        </w:r>
      </w:hyperlink>
    </w:p>
    <w:p w14:paraId="30CC2A9D"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t442" w:history="1">
        <w:r>
          <w:rPr>
            <w:rStyle w:val="Hipervnculo"/>
            <w:b/>
            <w:spacing w:val="6"/>
            <w:sz w:val="22"/>
            <w:szCs w:val="22"/>
          </w:rPr>
          <w:t>Tratamiento notarial</w:t>
        </w:r>
      </w:hyperlink>
    </w:p>
    <w:p w14:paraId="238B8B33" w14:textId="77777777" w:rsidR="00EE1145" w:rsidRDefault="00EE1145" w:rsidP="00C854F8">
      <w:pPr>
        <w:numPr>
          <w:ilvl w:val="1"/>
          <w:numId w:val="18"/>
        </w:numPr>
        <w:spacing w:line="280" w:lineRule="atLeast"/>
        <w:jc w:val="both"/>
        <w:rPr>
          <w:b/>
          <w:spacing w:val="6"/>
          <w:sz w:val="22"/>
          <w:szCs w:val="22"/>
        </w:rPr>
      </w:pPr>
      <w:hyperlink w:anchor="D5" w:history="1">
        <w:r>
          <w:rPr>
            <w:rStyle w:val="Hipervnculo"/>
            <w:b/>
            <w:spacing w:val="6"/>
            <w:sz w:val="22"/>
            <w:szCs w:val="22"/>
          </w:rPr>
          <w:t>Reducción propia del 99% en la base imponible por la explotación agraria del causante o elementos afectos en favor de parientes (desde el  01/06/2017)</w:t>
        </w:r>
      </w:hyperlink>
    </w:p>
    <w:p w14:paraId="3B67E5EA"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l451" w:history="1">
        <w:r>
          <w:rPr>
            <w:rStyle w:val="Hipervnculo"/>
            <w:b/>
            <w:spacing w:val="6"/>
            <w:sz w:val="22"/>
            <w:szCs w:val="22"/>
          </w:rPr>
          <w:t>Legislación, vigor y reseña de su contenido</w:t>
        </w:r>
      </w:hyperlink>
    </w:p>
    <w:p w14:paraId="1BEC194D"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t452" w:history="1">
        <w:r>
          <w:rPr>
            <w:rStyle w:val="Hipervnculo"/>
            <w:b/>
            <w:spacing w:val="6"/>
            <w:sz w:val="22"/>
            <w:szCs w:val="22"/>
          </w:rPr>
          <w:t>Tratamiento notarial</w:t>
        </w:r>
      </w:hyperlink>
    </w:p>
    <w:p w14:paraId="4B9369E7" w14:textId="77777777" w:rsidR="00EE1145" w:rsidRDefault="00EE1145" w:rsidP="00C854F8">
      <w:pPr>
        <w:numPr>
          <w:ilvl w:val="1"/>
          <w:numId w:val="18"/>
        </w:numPr>
        <w:spacing w:line="280" w:lineRule="atLeast"/>
        <w:jc w:val="both"/>
        <w:rPr>
          <w:b/>
          <w:spacing w:val="6"/>
          <w:sz w:val="22"/>
          <w:szCs w:val="22"/>
        </w:rPr>
      </w:pPr>
      <w:hyperlink w:anchor="col45" w:history="1">
        <w:r>
          <w:rPr>
            <w:rStyle w:val="Hipervnculo"/>
            <w:b/>
            <w:spacing w:val="6"/>
            <w:sz w:val="22"/>
            <w:szCs w:val="22"/>
          </w:rPr>
          <w:t>Reducción propia del 95% en la base imponible por patrimonio empresarial del causante en favor de colaboradores (desde el 01/06/2017)</w:t>
        </w:r>
      </w:hyperlink>
    </w:p>
    <w:p w14:paraId="71528EF8"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leg451" w:history="1">
        <w:r>
          <w:rPr>
            <w:rStyle w:val="Hipervnculo"/>
            <w:b/>
            <w:spacing w:val="6"/>
            <w:sz w:val="22"/>
            <w:szCs w:val="22"/>
          </w:rPr>
          <w:t>Legislación, vigor y reseña de su contenido</w:t>
        </w:r>
      </w:hyperlink>
    </w:p>
    <w:p w14:paraId="0743A7F3"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tra452" w:history="1">
        <w:r>
          <w:rPr>
            <w:rStyle w:val="Hipervnculo"/>
            <w:b/>
            <w:spacing w:val="6"/>
            <w:sz w:val="22"/>
            <w:szCs w:val="22"/>
          </w:rPr>
          <w:t>Tratamiento notarial</w:t>
        </w:r>
      </w:hyperlink>
    </w:p>
    <w:p w14:paraId="498EBF76" w14:textId="77777777" w:rsidR="00EE1145" w:rsidRDefault="00EE1145" w:rsidP="00C854F8">
      <w:pPr>
        <w:numPr>
          <w:ilvl w:val="1"/>
          <w:numId w:val="18"/>
        </w:numPr>
        <w:tabs>
          <w:tab w:val="clear" w:pos="792"/>
          <w:tab w:val="num" w:pos="432"/>
        </w:tabs>
        <w:spacing w:line="280" w:lineRule="atLeast"/>
        <w:jc w:val="both"/>
        <w:rPr>
          <w:b/>
          <w:spacing w:val="6"/>
          <w:sz w:val="22"/>
          <w:szCs w:val="22"/>
        </w:rPr>
      </w:pPr>
      <w:hyperlink w:anchor="red46" w:history="1">
        <w:r>
          <w:rPr>
            <w:rStyle w:val="Hipervnculo"/>
            <w:b/>
            <w:spacing w:val="6"/>
            <w:sz w:val="22"/>
            <w:szCs w:val="22"/>
          </w:rPr>
          <w:t>Reducción propia del 95% en la base imponible por bienes destinados a una empresa (desde el 01/06/2017)</w:t>
        </w:r>
      </w:hyperlink>
    </w:p>
    <w:p w14:paraId="0453F5D3"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leg461" w:history="1">
        <w:r>
          <w:rPr>
            <w:rStyle w:val="Hipervnculo"/>
            <w:b/>
            <w:spacing w:val="6"/>
            <w:sz w:val="22"/>
            <w:szCs w:val="22"/>
          </w:rPr>
          <w:t>Legislación, vigor y reseña de su contenido</w:t>
        </w:r>
      </w:hyperlink>
    </w:p>
    <w:p w14:paraId="240A5EF8"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tra462" w:history="1">
        <w:r>
          <w:rPr>
            <w:rStyle w:val="Hipervnculo"/>
            <w:b/>
            <w:spacing w:val="6"/>
            <w:sz w:val="22"/>
            <w:szCs w:val="22"/>
          </w:rPr>
          <w:t>Tratamiento notarial</w:t>
        </w:r>
      </w:hyperlink>
    </w:p>
    <w:p w14:paraId="3CEA163A" w14:textId="77777777" w:rsidR="00EE1145" w:rsidRDefault="00EE1145" w:rsidP="00C854F8">
      <w:pPr>
        <w:numPr>
          <w:ilvl w:val="1"/>
          <w:numId w:val="18"/>
        </w:numPr>
        <w:spacing w:line="280" w:lineRule="atLeast"/>
        <w:jc w:val="both"/>
        <w:rPr>
          <w:b/>
          <w:spacing w:val="6"/>
          <w:sz w:val="22"/>
          <w:szCs w:val="22"/>
        </w:rPr>
      </w:pPr>
      <w:hyperlink w:anchor="D8" w:history="1">
        <w:r>
          <w:rPr>
            <w:rStyle w:val="Hipervnculo"/>
            <w:b/>
            <w:spacing w:val="6"/>
            <w:sz w:val="22"/>
            <w:szCs w:val="22"/>
          </w:rPr>
          <w:t>Cuota íntegra</w:t>
        </w:r>
      </w:hyperlink>
    </w:p>
    <w:p w14:paraId="7B638981"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Grupo481" w:history="1">
        <w:r>
          <w:rPr>
            <w:rStyle w:val="Hipervnculo"/>
            <w:b/>
            <w:spacing w:val="6"/>
            <w:sz w:val="22"/>
            <w:szCs w:val="22"/>
          </w:rPr>
          <w:t>Grupos I y II (desde el 15/07/2010 hasta el 31/12/2016) y Grupos III y IV (desde el 15/07/2010)</w:t>
        </w:r>
      </w:hyperlink>
    </w:p>
    <w:p w14:paraId="349F2348"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Grupo482" w:history="1">
        <w:r>
          <w:rPr>
            <w:rStyle w:val="Hipervnculo"/>
            <w:b/>
            <w:spacing w:val="6"/>
            <w:sz w:val="22"/>
            <w:szCs w:val="22"/>
          </w:rPr>
          <w:t>Grupos I y II (desde el 01/01/2017)</w:t>
        </w:r>
      </w:hyperlink>
    </w:p>
    <w:p w14:paraId="58196017" w14:textId="77777777" w:rsidR="00EE1145" w:rsidRDefault="00EE1145" w:rsidP="00C854F8">
      <w:pPr>
        <w:numPr>
          <w:ilvl w:val="2"/>
          <w:numId w:val="18"/>
        </w:numPr>
        <w:tabs>
          <w:tab w:val="clear" w:pos="1440"/>
          <w:tab w:val="num" w:pos="1276"/>
        </w:tabs>
        <w:spacing w:line="280" w:lineRule="atLeast"/>
        <w:jc w:val="both"/>
        <w:rPr>
          <w:b/>
          <w:spacing w:val="6"/>
          <w:sz w:val="22"/>
          <w:szCs w:val="22"/>
        </w:rPr>
      </w:pPr>
      <w:hyperlink w:anchor="tra483" w:history="1">
        <w:r>
          <w:rPr>
            <w:rStyle w:val="Hipervnculo"/>
            <w:b/>
            <w:spacing w:val="6"/>
            <w:sz w:val="22"/>
            <w:szCs w:val="22"/>
          </w:rPr>
          <w:t>Tratamiento notarial</w:t>
        </w:r>
      </w:hyperlink>
    </w:p>
    <w:p w14:paraId="60883183" w14:textId="77777777" w:rsidR="00EE1145" w:rsidRDefault="00EE1145" w:rsidP="00C854F8">
      <w:pPr>
        <w:numPr>
          <w:ilvl w:val="1"/>
          <w:numId w:val="18"/>
        </w:numPr>
        <w:tabs>
          <w:tab w:val="left" w:pos="851"/>
        </w:tabs>
        <w:spacing w:line="280" w:lineRule="atLeast"/>
        <w:jc w:val="both"/>
        <w:rPr>
          <w:b/>
          <w:spacing w:val="6"/>
          <w:sz w:val="22"/>
          <w:szCs w:val="22"/>
        </w:rPr>
      </w:pPr>
      <w:hyperlink w:anchor="TRI49" w:history="1">
        <w:r>
          <w:rPr>
            <w:rStyle w:val="Hipervnculo"/>
            <w:b/>
            <w:spacing w:val="6"/>
            <w:sz w:val="22"/>
            <w:szCs w:val="22"/>
          </w:rPr>
          <w:t>Cuota tributaria (coeficientes próximos a cero para Grupo I)</w:t>
        </w:r>
      </w:hyperlink>
    </w:p>
    <w:p w14:paraId="63E062A7" w14:textId="77777777" w:rsidR="00EE1145" w:rsidRDefault="00EE1145" w:rsidP="00C854F8">
      <w:pPr>
        <w:numPr>
          <w:ilvl w:val="2"/>
          <w:numId w:val="18"/>
        </w:numPr>
        <w:spacing w:line="280" w:lineRule="atLeast"/>
        <w:jc w:val="both"/>
        <w:rPr>
          <w:b/>
          <w:spacing w:val="6"/>
          <w:sz w:val="22"/>
          <w:szCs w:val="22"/>
        </w:rPr>
      </w:pPr>
      <w:hyperlink w:anchor="nor491" w:history="1">
        <w:r>
          <w:rPr>
            <w:rStyle w:val="Hipervnculo"/>
            <w:b/>
            <w:spacing w:val="6"/>
            <w:sz w:val="22"/>
            <w:szCs w:val="22"/>
          </w:rPr>
          <w:t>Normativa vigente</w:t>
        </w:r>
      </w:hyperlink>
    </w:p>
    <w:p w14:paraId="3235885F" w14:textId="77777777" w:rsidR="00EE1145" w:rsidRDefault="00EE1145" w:rsidP="00C854F8">
      <w:pPr>
        <w:numPr>
          <w:ilvl w:val="2"/>
          <w:numId w:val="18"/>
        </w:numPr>
        <w:spacing w:line="280" w:lineRule="atLeast"/>
        <w:jc w:val="both"/>
        <w:rPr>
          <w:b/>
          <w:spacing w:val="6"/>
          <w:sz w:val="22"/>
          <w:szCs w:val="22"/>
        </w:rPr>
      </w:pPr>
      <w:hyperlink w:anchor="tra492" w:history="1">
        <w:r>
          <w:rPr>
            <w:rStyle w:val="Hipervnculo"/>
            <w:b/>
            <w:spacing w:val="6"/>
            <w:sz w:val="22"/>
            <w:szCs w:val="22"/>
          </w:rPr>
          <w:t>Tratamiento notarial</w:t>
        </w:r>
      </w:hyperlink>
    </w:p>
    <w:p w14:paraId="4ABD66F9" w14:textId="77777777" w:rsidR="00EE1145" w:rsidRDefault="00EE1145" w:rsidP="00C854F8">
      <w:pPr>
        <w:numPr>
          <w:ilvl w:val="1"/>
          <w:numId w:val="18"/>
        </w:numPr>
        <w:tabs>
          <w:tab w:val="left" w:pos="851"/>
          <w:tab w:val="left" w:pos="993"/>
        </w:tabs>
        <w:spacing w:line="280" w:lineRule="atLeast"/>
        <w:jc w:val="both"/>
        <w:rPr>
          <w:b/>
          <w:spacing w:val="6"/>
          <w:sz w:val="22"/>
          <w:szCs w:val="22"/>
        </w:rPr>
      </w:pPr>
      <w:hyperlink w:anchor="D9" w:history="1">
        <w:r>
          <w:rPr>
            <w:rStyle w:val="Hipervnculo"/>
            <w:b/>
            <w:spacing w:val="6"/>
            <w:sz w:val="22"/>
            <w:szCs w:val="22"/>
          </w:rPr>
          <w:t>Bonificación del 100% en la cuota para causahabientes con minusvalía del 65% y patrimonio no superior a 402.678,11 € (desde el 01/01/2017)</w:t>
        </w:r>
      </w:hyperlink>
    </w:p>
    <w:p w14:paraId="5F243CB7" w14:textId="77777777" w:rsidR="00EE1145" w:rsidRDefault="00EE1145" w:rsidP="00C854F8">
      <w:pPr>
        <w:numPr>
          <w:ilvl w:val="2"/>
          <w:numId w:val="18"/>
        </w:numPr>
        <w:tabs>
          <w:tab w:val="left" w:pos="851"/>
        </w:tabs>
        <w:spacing w:line="280" w:lineRule="atLeast"/>
        <w:jc w:val="both"/>
        <w:rPr>
          <w:b/>
          <w:spacing w:val="6"/>
          <w:sz w:val="22"/>
          <w:szCs w:val="22"/>
        </w:rPr>
      </w:pPr>
      <w:hyperlink w:anchor="l491" w:history="1">
        <w:r>
          <w:rPr>
            <w:rStyle w:val="Hipervnculo"/>
            <w:b/>
            <w:spacing w:val="6"/>
            <w:sz w:val="22"/>
            <w:szCs w:val="22"/>
          </w:rPr>
          <w:t>Legislación, vigor y reseña de su contenido</w:t>
        </w:r>
      </w:hyperlink>
    </w:p>
    <w:p w14:paraId="0C3A25A8" w14:textId="77777777" w:rsidR="00EE1145" w:rsidRDefault="00EE1145" w:rsidP="00C854F8">
      <w:pPr>
        <w:numPr>
          <w:ilvl w:val="2"/>
          <w:numId w:val="18"/>
        </w:numPr>
        <w:tabs>
          <w:tab w:val="left" w:pos="851"/>
        </w:tabs>
        <w:spacing w:line="280" w:lineRule="atLeast"/>
        <w:jc w:val="both"/>
        <w:rPr>
          <w:b/>
          <w:spacing w:val="6"/>
          <w:sz w:val="22"/>
          <w:szCs w:val="22"/>
        </w:rPr>
      </w:pPr>
      <w:hyperlink w:anchor="t492" w:history="1">
        <w:r>
          <w:rPr>
            <w:rStyle w:val="Hipervnculo"/>
            <w:b/>
            <w:spacing w:val="6"/>
            <w:sz w:val="22"/>
            <w:szCs w:val="22"/>
          </w:rPr>
          <w:t>Tratamiento notarial</w:t>
        </w:r>
      </w:hyperlink>
    </w:p>
    <w:p w14:paraId="2DC34419" w14:textId="77777777" w:rsidR="00EE1145" w:rsidRDefault="00EE1145" w:rsidP="00C854F8">
      <w:pPr>
        <w:numPr>
          <w:ilvl w:val="1"/>
          <w:numId w:val="18"/>
        </w:numPr>
        <w:tabs>
          <w:tab w:val="left" w:pos="851"/>
        </w:tabs>
        <w:spacing w:line="280" w:lineRule="atLeast"/>
        <w:jc w:val="both"/>
        <w:rPr>
          <w:b/>
          <w:spacing w:val="6"/>
          <w:sz w:val="22"/>
          <w:szCs w:val="22"/>
        </w:rPr>
      </w:pPr>
      <w:hyperlink w:anchor="D10" w:history="1">
        <w:r>
          <w:rPr>
            <w:rStyle w:val="Hipervnculo"/>
            <w:b/>
            <w:spacing w:val="6"/>
            <w:sz w:val="22"/>
            <w:szCs w:val="22"/>
          </w:rPr>
          <w:t>Bonificación del 100% en la cuota, para causahabientes Grupo II o con minusvalía del 65%, y patrimonio no superior a 402.678,11 €, si la base imponible no es superior a 150.000 € (desde el 01/01/2009 hasta el 31/12/2016)</w:t>
        </w:r>
      </w:hyperlink>
    </w:p>
    <w:p w14:paraId="3718310C" w14:textId="77777777" w:rsidR="00EE1145" w:rsidRDefault="00EE1145" w:rsidP="00C854F8">
      <w:pPr>
        <w:numPr>
          <w:ilvl w:val="2"/>
          <w:numId w:val="18"/>
        </w:numPr>
        <w:tabs>
          <w:tab w:val="left" w:pos="851"/>
        </w:tabs>
        <w:spacing w:line="280" w:lineRule="atLeast"/>
        <w:jc w:val="both"/>
        <w:rPr>
          <w:b/>
          <w:spacing w:val="6"/>
          <w:sz w:val="22"/>
          <w:szCs w:val="22"/>
        </w:rPr>
      </w:pPr>
      <w:hyperlink w:anchor="l4101" w:history="1">
        <w:r>
          <w:rPr>
            <w:rStyle w:val="Hipervnculo"/>
            <w:b/>
            <w:spacing w:val="6"/>
            <w:sz w:val="22"/>
            <w:szCs w:val="22"/>
          </w:rPr>
          <w:t>Legislación, vigor y reseña de su contenido</w:t>
        </w:r>
      </w:hyperlink>
    </w:p>
    <w:p w14:paraId="361E7B84" w14:textId="77777777" w:rsidR="00EE1145" w:rsidRDefault="00EE1145" w:rsidP="00C854F8">
      <w:pPr>
        <w:numPr>
          <w:ilvl w:val="2"/>
          <w:numId w:val="18"/>
        </w:numPr>
        <w:tabs>
          <w:tab w:val="left" w:pos="851"/>
        </w:tabs>
        <w:spacing w:after="120" w:line="280" w:lineRule="atLeast"/>
        <w:ind w:left="1225" w:hanging="505"/>
        <w:jc w:val="both"/>
        <w:rPr>
          <w:b/>
          <w:spacing w:val="6"/>
          <w:sz w:val="22"/>
          <w:szCs w:val="22"/>
        </w:rPr>
      </w:pPr>
      <w:hyperlink w:anchor="t4102" w:history="1">
        <w:r>
          <w:rPr>
            <w:rStyle w:val="Hipervnculo"/>
            <w:b/>
            <w:spacing w:val="6"/>
            <w:sz w:val="22"/>
            <w:szCs w:val="22"/>
          </w:rPr>
          <w:t>Tratamiento notarial</w:t>
        </w:r>
      </w:hyperlink>
    </w:p>
    <w:p w14:paraId="4A754ED8" w14:textId="77777777" w:rsidR="00EE1145" w:rsidRDefault="00EE1145" w:rsidP="00C854F8">
      <w:pPr>
        <w:numPr>
          <w:ilvl w:val="0"/>
          <w:numId w:val="18"/>
        </w:numPr>
        <w:tabs>
          <w:tab w:val="clear" w:pos="360"/>
        </w:tabs>
        <w:spacing w:line="280" w:lineRule="atLeast"/>
        <w:jc w:val="both"/>
        <w:rPr>
          <w:b/>
          <w:spacing w:val="6"/>
          <w:sz w:val="22"/>
          <w:szCs w:val="22"/>
        </w:rPr>
      </w:pPr>
      <w:hyperlink w:anchor="E" w:history="1">
        <w:r>
          <w:rPr>
            <w:rStyle w:val="Hipervnculo"/>
            <w:b/>
            <w:spacing w:val="6"/>
            <w:sz w:val="22"/>
            <w:szCs w:val="22"/>
          </w:rPr>
          <w:t>IMPUESTO SOBRE LA RENTA DE LAS PERSONAS FÍSICAS</w:t>
        </w:r>
      </w:hyperlink>
    </w:p>
    <w:p w14:paraId="115E90C9" w14:textId="77777777" w:rsidR="00EE1145" w:rsidRDefault="00EE1145" w:rsidP="00C854F8">
      <w:pPr>
        <w:numPr>
          <w:ilvl w:val="1"/>
          <w:numId w:val="18"/>
        </w:numPr>
        <w:spacing w:line="280" w:lineRule="atLeast"/>
        <w:jc w:val="both"/>
        <w:rPr>
          <w:b/>
          <w:spacing w:val="6"/>
          <w:sz w:val="22"/>
          <w:szCs w:val="22"/>
        </w:rPr>
      </w:pPr>
      <w:hyperlink w:anchor="n52" w:history="1">
        <w:r>
          <w:rPr>
            <w:rStyle w:val="Hipervnculo"/>
            <w:b/>
            <w:spacing w:val="6"/>
            <w:sz w:val="22"/>
            <w:szCs w:val="22"/>
          </w:rPr>
          <w:t>Normativa vigente</w:t>
        </w:r>
      </w:hyperlink>
    </w:p>
    <w:p w14:paraId="73E51A1A" w14:textId="77777777" w:rsidR="00EE1145" w:rsidRDefault="00EE1145" w:rsidP="00C854F8">
      <w:pPr>
        <w:numPr>
          <w:ilvl w:val="1"/>
          <w:numId w:val="18"/>
        </w:numPr>
        <w:spacing w:after="120" w:line="280" w:lineRule="atLeast"/>
        <w:ind w:left="788" w:hanging="431"/>
        <w:jc w:val="both"/>
        <w:rPr>
          <w:b/>
          <w:spacing w:val="6"/>
          <w:sz w:val="22"/>
          <w:szCs w:val="22"/>
        </w:rPr>
      </w:pPr>
      <w:hyperlink w:anchor="t53" w:history="1">
        <w:r>
          <w:rPr>
            <w:rStyle w:val="Hipervnculo"/>
            <w:b/>
            <w:spacing w:val="6"/>
            <w:sz w:val="22"/>
            <w:szCs w:val="22"/>
          </w:rPr>
          <w:t>Tratamiento notarial</w:t>
        </w:r>
      </w:hyperlink>
    </w:p>
    <w:p w14:paraId="3727424B" w14:textId="77777777" w:rsidR="00EE1145" w:rsidRDefault="00EE1145" w:rsidP="00FC5A84">
      <w:pPr>
        <w:numPr>
          <w:ilvl w:val="0"/>
          <w:numId w:val="18"/>
        </w:numPr>
        <w:tabs>
          <w:tab w:val="clear" w:pos="360"/>
        </w:tabs>
        <w:spacing w:after="120" w:line="280" w:lineRule="atLeast"/>
        <w:ind w:left="357" w:hanging="357"/>
        <w:jc w:val="both"/>
        <w:rPr>
          <w:b/>
          <w:spacing w:val="6"/>
          <w:sz w:val="22"/>
          <w:szCs w:val="22"/>
        </w:rPr>
      </w:pPr>
      <w:hyperlink w:anchor="F" w:history="1">
        <w:r>
          <w:rPr>
            <w:rStyle w:val="Hipervnculo"/>
            <w:b/>
            <w:spacing w:val="6"/>
            <w:sz w:val="22"/>
            <w:szCs w:val="22"/>
          </w:rPr>
          <w:t>IMPUESTO SOBRE EL PATRIMONIO</w:t>
        </w:r>
      </w:hyperlink>
    </w:p>
    <w:p w14:paraId="782711FB" w14:textId="77777777" w:rsidR="009B0357" w:rsidRDefault="009B0357" w:rsidP="00C854F8">
      <w:pPr>
        <w:numPr>
          <w:ilvl w:val="0"/>
          <w:numId w:val="18"/>
        </w:numPr>
        <w:spacing w:line="280" w:lineRule="atLeast"/>
        <w:jc w:val="both"/>
        <w:rPr>
          <w:b/>
          <w:spacing w:val="6"/>
          <w:sz w:val="22"/>
          <w:szCs w:val="22"/>
        </w:rPr>
      </w:pPr>
      <w:hyperlink w:anchor="plusvalia" w:history="1">
        <w:r w:rsidRPr="00AA4DB1">
          <w:rPr>
            <w:rStyle w:val="Hipervnculo"/>
            <w:b/>
            <w:spacing w:val="6"/>
            <w:sz w:val="22"/>
            <w:szCs w:val="22"/>
          </w:rPr>
          <w:t>“PLUSVALÍA MUNICIPAL”</w:t>
        </w:r>
      </w:hyperlink>
    </w:p>
    <w:p w14:paraId="0DE9C91E" w14:textId="77777777" w:rsidR="008E7778" w:rsidRDefault="008E7778" w:rsidP="00C854F8">
      <w:pPr>
        <w:numPr>
          <w:ilvl w:val="1"/>
          <w:numId w:val="18"/>
        </w:numPr>
        <w:spacing w:line="280" w:lineRule="atLeast"/>
        <w:jc w:val="both"/>
        <w:rPr>
          <w:b/>
          <w:spacing w:val="6"/>
          <w:sz w:val="22"/>
          <w:szCs w:val="22"/>
        </w:rPr>
      </w:pPr>
      <w:hyperlink w:anchor="delegada" w:history="1">
        <w:r w:rsidRPr="002C56B4">
          <w:rPr>
            <w:rStyle w:val="Hipervnculo"/>
            <w:b/>
            <w:spacing w:val="6"/>
            <w:sz w:val="22"/>
            <w:szCs w:val="22"/>
          </w:rPr>
          <w:t>Concejos con plusvalía delegada</w:t>
        </w:r>
      </w:hyperlink>
    </w:p>
    <w:p w14:paraId="5CD52BFC" w14:textId="77777777" w:rsidR="008E7778" w:rsidRDefault="008E7778" w:rsidP="00C854F8">
      <w:pPr>
        <w:numPr>
          <w:ilvl w:val="1"/>
          <w:numId w:val="18"/>
        </w:numPr>
        <w:spacing w:line="280" w:lineRule="atLeast"/>
        <w:jc w:val="both"/>
        <w:rPr>
          <w:b/>
          <w:spacing w:val="6"/>
          <w:sz w:val="22"/>
          <w:szCs w:val="22"/>
        </w:rPr>
      </w:pPr>
      <w:hyperlink w:anchor="nodelegada" w:history="1">
        <w:r w:rsidRPr="009E513D">
          <w:rPr>
            <w:rStyle w:val="Hipervnculo"/>
            <w:b/>
            <w:spacing w:val="6"/>
            <w:sz w:val="22"/>
            <w:szCs w:val="22"/>
          </w:rPr>
          <w:t>Concejos con plusvalía no delegada</w:t>
        </w:r>
      </w:hyperlink>
    </w:p>
    <w:p w14:paraId="79054334" w14:textId="77777777" w:rsidR="008E7778" w:rsidRPr="009B0357" w:rsidRDefault="008E7778" w:rsidP="00C854F8">
      <w:pPr>
        <w:numPr>
          <w:ilvl w:val="1"/>
          <w:numId w:val="18"/>
        </w:numPr>
        <w:spacing w:line="280" w:lineRule="atLeast"/>
        <w:jc w:val="both"/>
        <w:rPr>
          <w:b/>
          <w:spacing w:val="6"/>
          <w:sz w:val="22"/>
          <w:szCs w:val="22"/>
        </w:rPr>
      </w:pPr>
      <w:hyperlink w:anchor="sinplusvalía" w:history="1">
        <w:r w:rsidRPr="004600E3">
          <w:rPr>
            <w:rStyle w:val="Hipervnculo"/>
            <w:b/>
            <w:spacing w:val="6"/>
            <w:sz w:val="22"/>
            <w:szCs w:val="22"/>
          </w:rPr>
          <w:t>Concejos sin plusvalía</w:t>
        </w:r>
      </w:hyperlink>
    </w:p>
    <w:p w14:paraId="59F007DE" w14:textId="77777777" w:rsidR="009B0357" w:rsidRDefault="009B0357" w:rsidP="00C854F8">
      <w:pPr>
        <w:numPr>
          <w:ilvl w:val="1"/>
          <w:numId w:val="18"/>
        </w:numPr>
        <w:spacing w:line="280" w:lineRule="atLeast"/>
        <w:jc w:val="both"/>
        <w:rPr>
          <w:b/>
          <w:spacing w:val="6"/>
          <w:sz w:val="22"/>
          <w:szCs w:val="22"/>
        </w:rPr>
      </w:pPr>
      <w:hyperlink w:anchor="Oviedo" w:history="1">
        <w:r w:rsidRPr="004635C0">
          <w:rPr>
            <w:rStyle w:val="Hipervnculo"/>
            <w:b/>
            <w:spacing w:val="6"/>
            <w:sz w:val="22"/>
            <w:szCs w:val="22"/>
          </w:rPr>
          <w:t>Oviedo</w:t>
        </w:r>
      </w:hyperlink>
    </w:p>
    <w:p w14:paraId="686AB1BA" w14:textId="77777777" w:rsidR="00F24831" w:rsidRDefault="00F24831" w:rsidP="00C854F8">
      <w:pPr>
        <w:numPr>
          <w:ilvl w:val="2"/>
          <w:numId w:val="18"/>
        </w:numPr>
        <w:tabs>
          <w:tab w:val="clear" w:pos="1440"/>
          <w:tab w:val="num" w:pos="1276"/>
        </w:tabs>
        <w:spacing w:line="280" w:lineRule="atLeast"/>
        <w:jc w:val="both"/>
        <w:rPr>
          <w:b/>
          <w:spacing w:val="6"/>
          <w:sz w:val="22"/>
          <w:szCs w:val="22"/>
        </w:rPr>
      </w:pPr>
      <w:hyperlink w:anchor="normativa711" w:history="1">
        <w:r w:rsidRPr="00BB686C">
          <w:rPr>
            <w:rStyle w:val="Hipervnculo"/>
            <w:b/>
            <w:spacing w:val="6"/>
            <w:sz w:val="22"/>
            <w:szCs w:val="22"/>
          </w:rPr>
          <w:t>Normativa</w:t>
        </w:r>
      </w:hyperlink>
    </w:p>
    <w:p w14:paraId="603123DB" w14:textId="77777777" w:rsidR="00F24831" w:rsidRDefault="00F24831" w:rsidP="00C854F8">
      <w:pPr>
        <w:numPr>
          <w:ilvl w:val="2"/>
          <w:numId w:val="18"/>
        </w:numPr>
        <w:tabs>
          <w:tab w:val="clear" w:pos="1440"/>
          <w:tab w:val="num" w:pos="1276"/>
        </w:tabs>
        <w:spacing w:line="280" w:lineRule="atLeast"/>
        <w:jc w:val="both"/>
        <w:rPr>
          <w:b/>
          <w:spacing w:val="6"/>
          <w:sz w:val="22"/>
          <w:szCs w:val="22"/>
        </w:rPr>
      </w:pPr>
      <w:hyperlink w:anchor="tratamiento712" w:history="1">
        <w:r w:rsidRPr="0061329C">
          <w:rPr>
            <w:rStyle w:val="Hipervnculo"/>
            <w:b/>
            <w:spacing w:val="6"/>
            <w:sz w:val="22"/>
            <w:szCs w:val="22"/>
          </w:rPr>
          <w:t>Tratamiento notarial</w:t>
        </w:r>
      </w:hyperlink>
    </w:p>
    <w:p w14:paraId="583968FD" w14:textId="77777777" w:rsidR="000D1052" w:rsidRDefault="000D1052" w:rsidP="00C854F8">
      <w:pPr>
        <w:numPr>
          <w:ilvl w:val="1"/>
          <w:numId w:val="18"/>
        </w:numPr>
        <w:spacing w:line="280" w:lineRule="atLeast"/>
        <w:jc w:val="both"/>
        <w:rPr>
          <w:b/>
          <w:spacing w:val="6"/>
          <w:sz w:val="22"/>
          <w:szCs w:val="22"/>
        </w:rPr>
      </w:pPr>
      <w:hyperlink w:anchor="Gijón" w:history="1">
        <w:r w:rsidRPr="00CA7DE3">
          <w:rPr>
            <w:rStyle w:val="Hipervnculo"/>
            <w:b/>
            <w:spacing w:val="6"/>
            <w:sz w:val="22"/>
            <w:szCs w:val="22"/>
          </w:rPr>
          <w:t>Gijón</w:t>
        </w:r>
      </w:hyperlink>
    </w:p>
    <w:p w14:paraId="2D7DA959" w14:textId="77777777" w:rsidR="000D1052" w:rsidRDefault="000D1052" w:rsidP="00C854F8">
      <w:pPr>
        <w:numPr>
          <w:ilvl w:val="2"/>
          <w:numId w:val="18"/>
        </w:numPr>
        <w:tabs>
          <w:tab w:val="clear" w:pos="1440"/>
          <w:tab w:val="num" w:pos="1276"/>
        </w:tabs>
        <w:spacing w:line="280" w:lineRule="atLeast"/>
        <w:jc w:val="both"/>
        <w:rPr>
          <w:b/>
          <w:spacing w:val="6"/>
          <w:sz w:val="22"/>
          <w:szCs w:val="22"/>
        </w:rPr>
      </w:pPr>
      <w:hyperlink w:anchor="normativa721" w:history="1">
        <w:r w:rsidRPr="00654A07">
          <w:rPr>
            <w:rStyle w:val="Hipervnculo"/>
            <w:b/>
            <w:spacing w:val="6"/>
            <w:sz w:val="22"/>
            <w:szCs w:val="22"/>
          </w:rPr>
          <w:t>Normativa</w:t>
        </w:r>
      </w:hyperlink>
    </w:p>
    <w:p w14:paraId="48D68357" w14:textId="77777777" w:rsidR="000D1052" w:rsidRPr="00FC5A84" w:rsidRDefault="000D1052" w:rsidP="00FC5A84">
      <w:pPr>
        <w:numPr>
          <w:ilvl w:val="2"/>
          <w:numId w:val="18"/>
        </w:numPr>
        <w:tabs>
          <w:tab w:val="clear" w:pos="1440"/>
          <w:tab w:val="num" w:pos="1276"/>
        </w:tabs>
        <w:spacing w:after="120" w:line="280" w:lineRule="atLeast"/>
        <w:ind w:left="1225" w:hanging="505"/>
        <w:jc w:val="both"/>
        <w:rPr>
          <w:b/>
          <w:spacing w:val="6"/>
          <w:sz w:val="22"/>
          <w:szCs w:val="22"/>
        </w:rPr>
      </w:pPr>
      <w:hyperlink w:anchor="tratamiento722" w:history="1">
        <w:r w:rsidRPr="0061492B">
          <w:rPr>
            <w:rStyle w:val="Hipervnculo"/>
            <w:b/>
            <w:spacing w:val="6"/>
            <w:sz w:val="22"/>
            <w:szCs w:val="22"/>
          </w:rPr>
          <w:t>Tratamiento notarial</w:t>
        </w:r>
      </w:hyperlink>
    </w:p>
    <w:p w14:paraId="34394710" w14:textId="5DB1E9A7" w:rsidR="00FC5A84" w:rsidRPr="00FC5A84" w:rsidRDefault="00FC5A84" w:rsidP="00FC5A84">
      <w:pPr>
        <w:numPr>
          <w:ilvl w:val="0"/>
          <w:numId w:val="18"/>
        </w:numPr>
        <w:spacing w:line="280" w:lineRule="atLeast"/>
        <w:jc w:val="both"/>
        <w:rPr>
          <w:b/>
          <w:spacing w:val="6"/>
          <w:sz w:val="22"/>
          <w:szCs w:val="22"/>
        </w:rPr>
      </w:pPr>
      <w:hyperlink w:anchor="IBI" w:history="1">
        <w:r w:rsidRPr="00770D9A">
          <w:rPr>
            <w:rStyle w:val="Hipervnculo"/>
            <w:b/>
            <w:sz w:val="22"/>
            <w:szCs w:val="22"/>
          </w:rPr>
          <w:t>CONSULTA NOTARIAL I.B.I. DE OVIEDO</w:t>
        </w:r>
      </w:hyperlink>
    </w:p>
    <w:p w14:paraId="6879696F" w14:textId="77777777" w:rsidR="009B0357" w:rsidRDefault="009B0357" w:rsidP="009B0357">
      <w:pPr>
        <w:spacing w:line="280" w:lineRule="atLeast"/>
        <w:ind w:left="360"/>
        <w:jc w:val="both"/>
        <w:rPr>
          <w:b/>
          <w:spacing w:val="6"/>
          <w:sz w:val="22"/>
          <w:szCs w:val="22"/>
        </w:rPr>
      </w:pPr>
    </w:p>
    <w:p w14:paraId="14CEB672" w14:textId="77777777" w:rsidR="00EE1145" w:rsidRDefault="00EE1145" w:rsidP="00C854F8">
      <w:pPr>
        <w:numPr>
          <w:ilvl w:val="0"/>
          <w:numId w:val="15"/>
        </w:numPr>
        <w:tabs>
          <w:tab w:val="clear" w:pos="360"/>
        </w:tabs>
        <w:spacing w:line="280" w:lineRule="atLeast"/>
        <w:jc w:val="both"/>
        <w:rPr>
          <w:b/>
          <w:color w:val="000000"/>
          <w:spacing w:val="6"/>
          <w:sz w:val="22"/>
          <w:szCs w:val="22"/>
        </w:rPr>
      </w:pPr>
      <w:r>
        <w:rPr>
          <w:b/>
          <w:spacing w:val="6"/>
          <w:sz w:val="22"/>
          <w:szCs w:val="22"/>
        </w:rPr>
        <w:br w:type="page"/>
      </w:r>
      <w:bookmarkStart w:id="3" w:name="A"/>
      <w:bookmarkEnd w:id="3"/>
      <w:r>
        <w:rPr>
          <w:b/>
          <w:color w:val="000000"/>
          <w:spacing w:val="6"/>
          <w:sz w:val="26"/>
          <w:szCs w:val="26"/>
        </w:rPr>
        <w:lastRenderedPageBreak/>
        <w:t>INTRODUCCIÓN</w:t>
      </w:r>
    </w:p>
    <w:p w14:paraId="5939F533" w14:textId="77777777" w:rsidR="00EE1145" w:rsidRDefault="00EE1145" w:rsidP="00C07E65">
      <w:pPr>
        <w:spacing w:after="60" w:line="240" w:lineRule="atLeast"/>
        <w:ind w:left="357"/>
        <w:jc w:val="both"/>
        <w:rPr>
          <w:spacing w:val="6"/>
          <w:sz w:val="26"/>
          <w:szCs w:val="26"/>
        </w:rPr>
      </w:pPr>
      <w:r>
        <w:rPr>
          <w:spacing w:val="6"/>
          <w:sz w:val="26"/>
          <w:szCs w:val="26"/>
        </w:rPr>
        <w:t>Me estoy refiriendo a esa maraña de reducciones e incrementos fiscales  previstos en la legislación autonómica que directamente afectan a la práctica notarial, por incidir en el Impuesto sobre Transmisiones Patrimoniales y Actos Jurídicos Documentados, en el Impuesto sobre Sucesiones y Donaciones e incluso en el Impuesto sobre la Renta de las Personas Físicas y en el Impuesto sobre el Patrimonio, y que presentan alguna especialidad frente a la legislación estatal, sin ánimo de exhaustividad, que se suele decir</w:t>
      </w:r>
      <w:r>
        <w:rPr>
          <w:rStyle w:val="Refdenotaalfinal"/>
          <w:b/>
          <w:spacing w:val="6"/>
          <w:sz w:val="28"/>
          <w:szCs w:val="28"/>
        </w:rPr>
        <w:endnoteReference w:id="1"/>
      </w:r>
      <w:r>
        <w:rPr>
          <w:spacing w:val="6"/>
          <w:sz w:val="26"/>
          <w:szCs w:val="26"/>
        </w:rPr>
        <w:t>.</w:t>
      </w:r>
    </w:p>
    <w:p w14:paraId="1F8091CD" w14:textId="77777777" w:rsidR="004C6C14" w:rsidRDefault="004C6C14" w:rsidP="00C854F8">
      <w:pPr>
        <w:numPr>
          <w:ilvl w:val="1"/>
          <w:numId w:val="15"/>
        </w:numPr>
        <w:spacing w:line="280" w:lineRule="atLeast"/>
        <w:jc w:val="both"/>
        <w:rPr>
          <w:b/>
          <w:spacing w:val="6"/>
          <w:sz w:val="26"/>
          <w:szCs w:val="26"/>
        </w:rPr>
      </w:pPr>
      <w:bookmarkStart w:id="4" w:name="warnings"/>
      <w:bookmarkEnd w:id="4"/>
      <w:r w:rsidRPr="004C6C14">
        <w:rPr>
          <w:b/>
          <w:spacing w:val="6"/>
          <w:sz w:val="26"/>
          <w:szCs w:val="26"/>
        </w:rPr>
        <w:t>Warnings!!!</w:t>
      </w:r>
    </w:p>
    <w:p w14:paraId="22662B02" w14:textId="77777777" w:rsidR="00580071" w:rsidRDefault="00580071" w:rsidP="00C854F8">
      <w:pPr>
        <w:numPr>
          <w:ilvl w:val="2"/>
          <w:numId w:val="15"/>
        </w:numPr>
        <w:spacing w:line="280" w:lineRule="atLeast"/>
        <w:jc w:val="both"/>
        <w:rPr>
          <w:b/>
          <w:spacing w:val="6"/>
          <w:sz w:val="26"/>
          <w:szCs w:val="26"/>
        </w:rPr>
      </w:pPr>
      <w:bookmarkStart w:id="5" w:name="Plazo111"/>
      <w:bookmarkStart w:id="6" w:name="_Hlk228776608"/>
      <w:bookmarkEnd w:id="5"/>
      <w:r>
        <w:rPr>
          <w:b/>
          <w:spacing w:val="6"/>
          <w:sz w:val="26"/>
          <w:szCs w:val="26"/>
        </w:rPr>
        <w:t>Plazo presentación ITPyAJD e ISyD</w:t>
      </w:r>
    </w:p>
    <w:bookmarkEnd w:id="6"/>
    <w:p w14:paraId="448CB4C8" w14:textId="77777777" w:rsidR="00580071" w:rsidRPr="00580071" w:rsidRDefault="00580071" w:rsidP="00580071">
      <w:pPr>
        <w:spacing w:line="280" w:lineRule="atLeast"/>
        <w:ind w:left="1224"/>
        <w:jc w:val="both"/>
        <w:rPr>
          <w:spacing w:val="6"/>
          <w:sz w:val="26"/>
          <w:szCs w:val="26"/>
        </w:rPr>
      </w:pPr>
      <w:r w:rsidRPr="00580071">
        <w:rPr>
          <w:spacing w:val="6"/>
          <w:sz w:val="26"/>
          <w:szCs w:val="26"/>
        </w:rPr>
        <w:t>Rigen los plazos estatales:</w:t>
      </w:r>
    </w:p>
    <w:p w14:paraId="65003A51" w14:textId="77777777" w:rsidR="00580071" w:rsidRDefault="00580071" w:rsidP="00580071">
      <w:pPr>
        <w:spacing w:line="280" w:lineRule="atLeast"/>
        <w:ind w:left="1224"/>
        <w:jc w:val="both"/>
        <w:rPr>
          <w:spacing w:val="6"/>
          <w:sz w:val="26"/>
          <w:szCs w:val="26"/>
        </w:rPr>
      </w:pPr>
      <w:r w:rsidRPr="00580071">
        <w:rPr>
          <w:spacing w:val="6"/>
          <w:sz w:val="26"/>
          <w:szCs w:val="26"/>
        </w:rPr>
        <w:t>- I</w:t>
      </w:r>
      <w:r>
        <w:rPr>
          <w:spacing w:val="6"/>
          <w:sz w:val="26"/>
          <w:szCs w:val="26"/>
        </w:rPr>
        <w:t>mpuesto sobre Transmisiones Patrimoniales y Actos Jurídicos Documentados: 30 días hábiles (</w:t>
      </w:r>
      <w:hyperlink r:id="rId10" w:anchor="a102" w:history="1">
        <w:r w:rsidRPr="00580071">
          <w:rPr>
            <w:rStyle w:val="Hipervnculo"/>
            <w:spacing w:val="6"/>
            <w:sz w:val="26"/>
            <w:szCs w:val="26"/>
            <w:lang w:val="es-ES"/>
          </w:rPr>
          <w:t>art. 102 Reglamento estatal 828/1995</w:t>
        </w:r>
      </w:hyperlink>
      <w:r>
        <w:rPr>
          <w:spacing w:val="6"/>
          <w:sz w:val="26"/>
          <w:szCs w:val="26"/>
        </w:rPr>
        <w:t>).</w:t>
      </w:r>
    </w:p>
    <w:p w14:paraId="54CA1136" w14:textId="77777777" w:rsidR="00580071" w:rsidRDefault="00580071" w:rsidP="00580071">
      <w:pPr>
        <w:spacing w:line="280" w:lineRule="atLeast"/>
        <w:ind w:left="1224"/>
        <w:jc w:val="both"/>
        <w:rPr>
          <w:spacing w:val="6"/>
          <w:sz w:val="26"/>
          <w:szCs w:val="26"/>
        </w:rPr>
      </w:pPr>
      <w:r>
        <w:rPr>
          <w:spacing w:val="6"/>
          <w:sz w:val="26"/>
          <w:szCs w:val="26"/>
        </w:rPr>
        <w:t>- Impuesto sobre Donaciones: 30 días hábiles (</w:t>
      </w:r>
      <w:hyperlink r:id="rId11" w:anchor="a67" w:history="1">
        <w:r w:rsidRPr="00580071">
          <w:rPr>
            <w:rStyle w:val="Hipervnculo"/>
            <w:spacing w:val="6"/>
            <w:sz w:val="26"/>
            <w:szCs w:val="26"/>
            <w:lang w:val="es-ES"/>
          </w:rPr>
          <w:t>art. 67</w:t>
        </w:r>
        <w:r w:rsidR="0050386B">
          <w:rPr>
            <w:rStyle w:val="Hipervnculo"/>
            <w:spacing w:val="6"/>
            <w:sz w:val="26"/>
            <w:szCs w:val="26"/>
            <w:lang w:val="es-ES"/>
          </w:rPr>
          <w:t>-b</w:t>
        </w:r>
        <w:r w:rsidRPr="00580071">
          <w:rPr>
            <w:rStyle w:val="Hipervnculo"/>
            <w:spacing w:val="6"/>
            <w:sz w:val="26"/>
            <w:szCs w:val="26"/>
            <w:lang w:val="es-ES"/>
          </w:rPr>
          <w:t xml:space="preserve"> Reglamento estatal 1629/1991</w:t>
        </w:r>
      </w:hyperlink>
      <w:r>
        <w:rPr>
          <w:spacing w:val="6"/>
          <w:sz w:val="26"/>
          <w:szCs w:val="26"/>
        </w:rPr>
        <w:t>).</w:t>
      </w:r>
    </w:p>
    <w:p w14:paraId="67033203" w14:textId="77777777" w:rsidR="00580071" w:rsidRDefault="00580071" w:rsidP="00580071">
      <w:pPr>
        <w:spacing w:line="280" w:lineRule="atLeast"/>
        <w:ind w:left="1224"/>
        <w:jc w:val="both"/>
        <w:rPr>
          <w:spacing w:val="6"/>
          <w:sz w:val="26"/>
          <w:szCs w:val="26"/>
        </w:rPr>
      </w:pPr>
      <w:r>
        <w:rPr>
          <w:spacing w:val="6"/>
          <w:sz w:val="26"/>
          <w:szCs w:val="26"/>
        </w:rPr>
        <w:t>- Impuesto sobre Sucesiones: 6 meses (</w:t>
      </w:r>
      <w:hyperlink r:id="rId12" w:anchor="a67" w:history="1">
        <w:r w:rsidRPr="00580071">
          <w:rPr>
            <w:rStyle w:val="Hipervnculo"/>
            <w:spacing w:val="6"/>
            <w:sz w:val="26"/>
            <w:szCs w:val="26"/>
            <w:lang w:val="es-ES"/>
          </w:rPr>
          <w:t>art. 67</w:t>
        </w:r>
        <w:r w:rsidR="0050386B">
          <w:rPr>
            <w:rStyle w:val="Hipervnculo"/>
            <w:spacing w:val="6"/>
            <w:sz w:val="26"/>
            <w:szCs w:val="26"/>
            <w:lang w:val="es-ES"/>
          </w:rPr>
          <w:t>-a</w:t>
        </w:r>
        <w:r w:rsidRPr="00580071">
          <w:rPr>
            <w:rStyle w:val="Hipervnculo"/>
            <w:spacing w:val="6"/>
            <w:sz w:val="26"/>
            <w:szCs w:val="26"/>
            <w:lang w:val="es-ES"/>
          </w:rPr>
          <w:t xml:space="preserve"> Reglamento estatal 1629/1991</w:t>
        </w:r>
      </w:hyperlink>
      <w:r>
        <w:rPr>
          <w:spacing w:val="6"/>
          <w:sz w:val="26"/>
          <w:szCs w:val="26"/>
        </w:rPr>
        <w:t>).</w:t>
      </w:r>
    </w:p>
    <w:p w14:paraId="7B6903E2" w14:textId="4CDBA179" w:rsidR="00CE436C" w:rsidRDefault="00CE436C" w:rsidP="00C854F8">
      <w:pPr>
        <w:numPr>
          <w:ilvl w:val="2"/>
          <w:numId w:val="15"/>
        </w:numPr>
        <w:spacing w:line="280" w:lineRule="atLeast"/>
        <w:jc w:val="both"/>
        <w:rPr>
          <w:b/>
          <w:spacing w:val="6"/>
          <w:sz w:val="26"/>
          <w:szCs w:val="26"/>
        </w:rPr>
      </w:pPr>
      <w:bookmarkStart w:id="7" w:name="Aplazamiento"/>
      <w:bookmarkStart w:id="8" w:name="_Hlk228778789"/>
      <w:bookmarkEnd w:id="7"/>
      <w:r>
        <w:rPr>
          <w:b/>
          <w:spacing w:val="6"/>
          <w:sz w:val="26"/>
          <w:szCs w:val="26"/>
        </w:rPr>
        <w:t>Aplazamiento y fraccionamiento desde 28/02/2026 a 30/06/2026</w:t>
      </w:r>
    </w:p>
    <w:bookmarkEnd w:id="8"/>
    <w:p w14:paraId="2A6D6DC2" w14:textId="3FE2CAA7" w:rsidR="00CE436C" w:rsidRDefault="00065E6F" w:rsidP="00CF4325">
      <w:pPr>
        <w:spacing w:line="280" w:lineRule="atLeast"/>
        <w:ind w:left="1224"/>
        <w:jc w:val="both"/>
        <w:rPr>
          <w:spacing w:val="6"/>
          <w:sz w:val="26"/>
          <w:szCs w:val="26"/>
        </w:rPr>
      </w:pPr>
      <w:r w:rsidRPr="00065E6F">
        <w:rPr>
          <w:spacing w:val="6"/>
          <w:sz w:val="26"/>
          <w:szCs w:val="26"/>
        </w:rPr>
        <w:t xml:space="preserve">El </w:t>
      </w:r>
      <w:bookmarkStart w:id="9" w:name="_Hlk228777640"/>
      <w:r w:rsidR="00B541A9">
        <w:rPr>
          <w:spacing w:val="6"/>
          <w:sz w:val="26"/>
          <w:szCs w:val="26"/>
        </w:rPr>
        <w:fldChar w:fldCharType="begin"/>
      </w:r>
      <w:r w:rsidR="00B541A9">
        <w:rPr>
          <w:spacing w:val="6"/>
          <w:sz w:val="26"/>
          <w:szCs w:val="26"/>
        </w:rPr>
        <w:instrText>HYPERLINK "https://miprincipado.asturias.es/ast/bopa/disposiciones?p_p_id=pa_sede_bopa_web_portlet_SedeBopaDispositionWeb&amp;p_p_lifecycle=0&amp;_pa_sede_bopa_web_portlet_SedeBopaDispositionWeb_mvcRenderCommandName=%2Fdisposition%2Fdetail&amp;p_r_p_dispositionText=2026-03603&amp;p_r_p_dispositionReference=2026-03603&amp;p_r_p_dispositionDate=04%2F05%2F2026"</w:instrText>
      </w:r>
      <w:r w:rsidR="00B541A9">
        <w:rPr>
          <w:spacing w:val="6"/>
          <w:sz w:val="26"/>
          <w:szCs w:val="26"/>
        </w:rPr>
      </w:r>
      <w:r w:rsidR="00B541A9">
        <w:rPr>
          <w:spacing w:val="6"/>
          <w:sz w:val="26"/>
          <w:szCs w:val="26"/>
        </w:rPr>
        <w:fldChar w:fldCharType="separate"/>
      </w:r>
      <w:r w:rsidRPr="00B541A9">
        <w:rPr>
          <w:rStyle w:val="Hipervnculo"/>
          <w:spacing w:val="6"/>
          <w:sz w:val="26"/>
          <w:szCs w:val="26"/>
        </w:rPr>
        <w:t>Decreto asturiano 25/2026</w:t>
      </w:r>
      <w:r w:rsidR="00B541A9">
        <w:rPr>
          <w:spacing w:val="6"/>
          <w:sz w:val="26"/>
          <w:szCs w:val="26"/>
        </w:rPr>
        <w:fldChar w:fldCharType="end"/>
      </w:r>
      <w:bookmarkEnd w:id="9"/>
      <w:r>
        <w:rPr>
          <w:spacing w:val="6"/>
          <w:sz w:val="26"/>
          <w:szCs w:val="26"/>
        </w:rPr>
        <w:t xml:space="preserve"> (BOPA 04/05/2026</w:t>
      </w:r>
      <w:r w:rsidR="005E39A5">
        <w:rPr>
          <w:spacing w:val="6"/>
          <w:sz w:val="26"/>
          <w:szCs w:val="26"/>
        </w:rPr>
        <w:t>, con entrada en vigor el mismo día</w:t>
      </w:r>
      <w:r>
        <w:rPr>
          <w:spacing w:val="6"/>
          <w:sz w:val="26"/>
          <w:szCs w:val="26"/>
        </w:rPr>
        <w:t xml:space="preserve">) </w:t>
      </w:r>
      <w:r w:rsidRPr="00065E6F">
        <w:rPr>
          <w:spacing w:val="6"/>
          <w:sz w:val="26"/>
          <w:szCs w:val="26"/>
        </w:rPr>
        <w:t xml:space="preserve">establece un régimen excepcional para los aplazamientos y fraccionamientos de deudas tributarias </w:t>
      </w:r>
      <w:r>
        <w:rPr>
          <w:spacing w:val="6"/>
          <w:sz w:val="26"/>
          <w:szCs w:val="26"/>
        </w:rPr>
        <w:t>a fin de</w:t>
      </w:r>
      <w:r w:rsidRPr="00065E6F">
        <w:rPr>
          <w:spacing w:val="6"/>
          <w:sz w:val="26"/>
          <w:szCs w:val="26"/>
        </w:rPr>
        <w:t xml:space="preserve"> paliar los efectos de la crisis en Oriente Medio</w:t>
      </w:r>
      <w:r>
        <w:rPr>
          <w:spacing w:val="6"/>
          <w:sz w:val="26"/>
          <w:szCs w:val="26"/>
        </w:rPr>
        <w:t>:</w:t>
      </w:r>
    </w:p>
    <w:p w14:paraId="3556828D" w14:textId="3D12BE29" w:rsidR="00065E6F" w:rsidRDefault="00065E6F" w:rsidP="00CF4325">
      <w:pPr>
        <w:spacing w:line="280" w:lineRule="atLeast"/>
        <w:ind w:left="1224"/>
        <w:jc w:val="both"/>
        <w:rPr>
          <w:spacing w:val="6"/>
          <w:sz w:val="26"/>
          <w:szCs w:val="26"/>
        </w:rPr>
      </w:pPr>
      <w:r>
        <w:rPr>
          <w:spacing w:val="6"/>
          <w:sz w:val="26"/>
          <w:szCs w:val="26"/>
        </w:rPr>
        <w:t>- Afecta a los tributos estatales cedidos (en particular, ITPOyAJD e ISyD), así como a los delegados por las corporaciones locales (en particular, IIVTNU).</w:t>
      </w:r>
    </w:p>
    <w:p w14:paraId="503BF7E6" w14:textId="2B4266E4" w:rsidR="00065E6F" w:rsidRDefault="00065E6F" w:rsidP="00CF4325">
      <w:pPr>
        <w:spacing w:line="280" w:lineRule="atLeast"/>
        <w:ind w:left="1224"/>
        <w:jc w:val="both"/>
        <w:rPr>
          <w:spacing w:val="6"/>
          <w:sz w:val="26"/>
          <w:szCs w:val="26"/>
        </w:rPr>
      </w:pPr>
      <w:r>
        <w:rPr>
          <w:spacing w:val="6"/>
          <w:sz w:val="26"/>
          <w:szCs w:val="26"/>
        </w:rPr>
        <w:t xml:space="preserve">- Es aplicable a las deudas tributarias </w:t>
      </w:r>
      <w:r w:rsidRPr="00065E6F">
        <w:rPr>
          <w:spacing w:val="6"/>
          <w:sz w:val="26"/>
          <w:szCs w:val="26"/>
        </w:rPr>
        <w:t>cuyo plazo de ingreso en período voluntario finalice entre el día 28 de febrero de 2026 y el 30 de junio de 2026, ambos inclusive</w:t>
      </w:r>
      <w:r>
        <w:rPr>
          <w:spacing w:val="6"/>
          <w:sz w:val="26"/>
          <w:szCs w:val="26"/>
        </w:rPr>
        <w:t>.</w:t>
      </w:r>
    </w:p>
    <w:p w14:paraId="25CF857F" w14:textId="5C630ED5" w:rsidR="00065E6F" w:rsidRDefault="00065E6F" w:rsidP="00CF4325">
      <w:pPr>
        <w:spacing w:line="280" w:lineRule="atLeast"/>
        <w:ind w:left="1224"/>
        <w:jc w:val="both"/>
        <w:rPr>
          <w:spacing w:val="6"/>
          <w:sz w:val="26"/>
          <w:szCs w:val="26"/>
        </w:rPr>
      </w:pPr>
      <w:r>
        <w:rPr>
          <w:spacing w:val="6"/>
          <w:sz w:val="26"/>
          <w:szCs w:val="26"/>
        </w:rPr>
        <w:t xml:space="preserve">- </w:t>
      </w:r>
      <w:r w:rsidR="00014D07">
        <w:rPr>
          <w:spacing w:val="6"/>
          <w:sz w:val="26"/>
          <w:szCs w:val="26"/>
        </w:rPr>
        <w:t>Para el aplazamiento no hay límite mínimo ni máximo; para el fraccionamiento la deuda tributaria ha de ser igual o superior a 300 €. En ambos casos se dispensa de aportación de garantías para deudas hasta 50.000</w:t>
      </w:r>
      <w:r w:rsidR="00983FF2">
        <w:rPr>
          <w:spacing w:val="6"/>
          <w:sz w:val="26"/>
          <w:szCs w:val="26"/>
        </w:rPr>
        <w:t xml:space="preserve"> </w:t>
      </w:r>
      <w:r w:rsidR="00014D07">
        <w:rPr>
          <w:spacing w:val="6"/>
          <w:sz w:val="26"/>
          <w:szCs w:val="26"/>
        </w:rPr>
        <w:t>€.</w:t>
      </w:r>
    </w:p>
    <w:p w14:paraId="5A950CA6" w14:textId="11297F10" w:rsidR="00014D07" w:rsidRDefault="00014D07" w:rsidP="00CF4325">
      <w:pPr>
        <w:spacing w:line="280" w:lineRule="atLeast"/>
        <w:ind w:left="1224"/>
        <w:jc w:val="both"/>
        <w:rPr>
          <w:spacing w:val="6"/>
          <w:sz w:val="26"/>
          <w:szCs w:val="26"/>
        </w:rPr>
      </w:pPr>
      <w:r>
        <w:rPr>
          <w:spacing w:val="6"/>
          <w:sz w:val="26"/>
          <w:szCs w:val="26"/>
        </w:rPr>
        <w:t>- Los plazos de aplazamiento y fraccionamiento van en función del importe y llegan hasta 42 meses para deudas tributarias de más de 10.000 €.</w:t>
      </w:r>
    </w:p>
    <w:p w14:paraId="20BE0398" w14:textId="57B5F9B2" w:rsidR="00867D6C" w:rsidRDefault="00867D6C" w:rsidP="00CF4325">
      <w:pPr>
        <w:spacing w:line="280" w:lineRule="atLeast"/>
        <w:ind w:left="1224"/>
        <w:jc w:val="both"/>
        <w:rPr>
          <w:spacing w:val="6"/>
          <w:sz w:val="26"/>
          <w:szCs w:val="26"/>
        </w:rPr>
      </w:pPr>
      <w:r>
        <w:rPr>
          <w:spacing w:val="6"/>
          <w:sz w:val="26"/>
          <w:szCs w:val="26"/>
        </w:rPr>
        <w:t xml:space="preserve">- Nada se dice del devengo de intereses. Parece que sí, puesto que el </w:t>
      </w:r>
      <w:hyperlink r:id="rId13" w:history="1">
        <w:r w:rsidRPr="00B541A9">
          <w:rPr>
            <w:rStyle w:val="Hipervnculo"/>
            <w:spacing w:val="6"/>
            <w:sz w:val="26"/>
            <w:szCs w:val="26"/>
          </w:rPr>
          <w:t>Decreto asturiano 25/2026</w:t>
        </w:r>
      </w:hyperlink>
      <w:r>
        <w:rPr>
          <w:spacing w:val="6"/>
          <w:sz w:val="26"/>
          <w:szCs w:val="26"/>
        </w:rPr>
        <w:t xml:space="preserve"> establece que en lo no previsto será de aplicación el </w:t>
      </w:r>
      <w:hyperlink r:id="rId14" w:history="1">
        <w:r w:rsidRPr="00867D6C">
          <w:rPr>
            <w:rStyle w:val="Hipervnculo"/>
            <w:spacing w:val="6"/>
            <w:sz w:val="26"/>
            <w:szCs w:val="26"/>
          </w:rPr>
          <w:t>Decreto asturiano 38/1991</w:t>
        </w:r>
      </w:hyperlink>
      <w:r>
        <w:rPr>
          <w:spacing w:val="6"/>
          <w:sz w:val="26"/>
          <w:szCs w:val="26"/>
        </w:rPr>
        <w:t xml:space="preserve">, que a su vez se remite al </w:t>
      </w:r>
      <w:r w:rsidR="00787AC2" w:rsidRPr="00787AC2">
        <w:rPr>
          <w:spacing w:val="6"/>
          <w:sz w:val="26"/>
          <w:szCs w:val="26"/>
        </w:rPr>
        <w:t>Decreto</w:t>
      </w:r>
      <w:r w:rsidR="00787AC2">
        <w:rPr>
          <w:spacing w:val="6"/>
          <w:sz w:val="26"/>
          <w:szCs w:val="26"/>
        </w:rPr>
        <w:t xml:space="preserve"> estatal</w:t>
      </w:r>
      <w:r w:rsidR="00787AC2" w:rsidRPr="00787AC2">
        <w:rPr>
          <w:spacing w:val="6"/>
          <w:sz w:val="26"/>
          <w:szCs w:val="26"/>
        </w:rPr>
        <w:t xml:space="preserve"> 1684/1990</w:t>
      </w:r>
      <w:r w:rsidR="00FA5EF5">
        <w:rPr>
          <w:spacing w:val="6"/>
          <w:sz w:val="26"/>
          <w:szCs w:val="26"/>
        </w:rPr>
        <w:t xml:space="preserve">, hoy </w:t>
      </w:r>
      <w:hyperlink r:id="rId15" w:anchor="a53" w:history="1">
        <w:r w:rsidR="00FA5EF5" w:rsidRPr="00CF4325">
          <w:rPr>
            <w:rStyle w:val="Hipervnculo"/>
            <w:spacing w:val="6"/>
            <w:sz w:val="26"/>
            <w:szCs w:val="26"/>
            <w:lang w:val="es-ES"/>
          </w:rPr>
          <w:t>Decreto estatal 939/2005</w:t>
        </w:r>
      </w:hyperlink>
      <w:r w:rsidR="00FA5EF5">
        <w:rPr>
          <w:spacing w:val="6"/>
          <w:sz w:val="26"/>
          <w:szCs w:val="26"/>
          <w:lang w:val="es-ES"/>
        </w:rPr>
        <w:t xml:space="preserve">, </w:t>
      </w:r>
      <w:r w:rsidR="00787AC2" w:rsidRPr="00787AC2">
        <w:rPr>
          <w:spacing w:val="6"/>
          <w:sz w:val="26"/>
          <w:szCs w:val="26"/>
        </w:rPr>
        <w:t>por el que se aprueba el Reglamento General de Recaudación</w:t>
      </w:r>
      <w:r w:rsidR="00FA5EF5">
        <w:rPr>
          <w:spacing w:val="6"/>
          <w:sz w:val="26"/>
          <w:szCs w:val="26"/>
        </w:rPr>
        <w:t xml:space="preserve">, que prevé la aplicación del interés de demora (en la actualidad </w:t>
      </w:r>
      <w:r w:rsidR="00520D78" w:rsidRPr="00520D78">
        <w:rPr>
          <w:spacing w:val="6"/>
          <w:sz w:val="26"/>
          <w:szCs w:val="26"/>
        </w:rPr>
        <w:t>4,0625%</w:t>
      </w:r>
      <w:r w:rsidR="00FA5EF5">
        <w:rPr>
          <w:spacing w:val="6"/>
          <w:sz w:val="26"/>
          <w:szCs w:val="26"/>
        </w:rPr>
        <w:t>).</w:t>
      </w:r>
    </w:p>
    <w:p w14:paraId="1BD7A12C" w14:textId="77777777" w:rsidR="00FA5EF5" w:rsidRDefault="00FA5EF5" w:rsidP="00FA5EF5">
      <w:pPr>
        <w:spacing w:line="280" w:lineRule="atLeast"/>
        <w:ind w:left="1224"/>
        <w:rPr>
          <w:spacing w:val="6"/>
          <w:sz w:val="26"/>
          <w:szCs w:val="26"/>
        </w:rPr>
      </w:pPr>
    </w:p>
    <w:p w14:paraId="7F1BFE1E" w14:textId="77777777" w:rsidR="00FA5EF5" w:rsidRPr="00FA5EF5" w:rsidRDefault="00FA5EF5" w:rsidP="00FA5EF5">
      <w:pPr>
        <w:spacing w:line="280" w:lineRule="atLeast"/>
        <w:ind w:left="1224"/>
        <w:rPr>
          <w:spacing w:val="6"/>
          <w:sz w:val="26"/>
          <w:szCs w:val="26"/>
          <w:lang w:val="es-ES"/>
        </w:rPr>
      </w:pPr>
    </w:p>
    <w:p w14:paraId="00A27E6D" w14:textId="77777777" w:rsidR="004C6C14" w:rsidRPr="00D22802" w:rsidRDefault="00A87F2E" w:rsidP="00C854F8">
      <w:pPr>
        <w:numPr>
          <w:ilvl w:val="2"/>
          <w:numId w:val="15"/>
        </w:numPr>
        <w:spacing w:line="280" w:lineRule="atLeast"/>
        <w:jc w:val="both"/>
        <w:rPr>
          <w:b/>
          <w:spacing w:val="6"/>
          <w:sz w:val="26"/>
          <w:szCs w:val="26"/>
        </w:rPr>
      </w:pPr>
      <w:bookmarkStart w:id="10" w:name="valoración111"/>
      <w:bookmarkEnd w:id="10"/>
      <w:r>
        <w:rPr>
          <w:b/>
          <w:spacing w:val="6"/>
          <w:sz w:val="26"/>
          <w:szCs w:val="26"/>
        </w:rPr>
        <w:lastRenderedPageBreak/>
        <w:t>Anterior v</w:t>
      </w:r>
      <w:r w:rsidR="004C6C14" w:rsidRPr="00D22802">
        <w:rPr>
          <w:b/>
          <w:spacing w:val="6"/>
          <w:sz w:val="26"/>
          <w:szCs w:val="26"/>
        </w:rPr>
        <w:t>aloración por coeficientes</w:t>
      </w:r>
    </w:p>
    <w:p w14:paraId="74D8CD33" w14:textId="77777777" w:rsidR="007D742A" w:rsidRDefault="004C6C14" w:rsidP="00C23E65">
      <w:pPr>
        <w:spacing w:line="280" w:lineRule="atLeast"/>
        <w:ind w:left="1224"/>
        <w:jc w:val="both"/>
        <w:rPr>
          <w:spacing w:val="6"/>
          <w:sz w:val="26"/>
          <w:szCs w:val="26"/>
          <w:lang w:val="es-ES"/>
        </w:rPr>
      </w:pPr>
      <w:r w:rsidRPr="004C6C14">
        <w:rPr>
          <w:spacing w:val="6"/>
          <w:sz w:val="26"/>
          <w:szCs w:val="26"/>
        </w:rPr>
        <w:t xml:space="preserve">La </w:t>
      </w:r>
      <w:hyperlink r:id="rId16" w:history="1">
        <w:r w:rsidRPr="004C6C14">
          <w:rPr>
            <w:rStyle w:val="Hipervnculo"/>
            <w:spacing w:val="6"/>
            <w:sz w:val="26"/>
            <w:szCs w:val="26"/>
          </w:rPr>
          <w:t>Sentencia del Tribunal Supremo de 23 de mayo de 2018</w:t>
        </w:r>
      </w:hyperlink>
      <w:r w:rsidR="008B0B49" w:rsidRPr="00B91674">
        <w:rPr>
          <w:rStyle w:val="Refdenotaalfinal"/>
          <w:b/>
          <w:spacing w:val="6"/>
          <w:sz w:val="28"/>
          <w:szCs w:val="28"/>
        </w:rPr>
        <w:endnoteReference w:id="2"/>
      </w:r>
      <w:r w:rsidRPr="004C6C14">
        <w:rPr>
          <w:spacing w:val="6"/>
          <w:sz w:val="26"/>
          <w:szCs w:val="26"/>
        </w:rPr>
        <w:t xml:space="preserve"> ha declarado que “</w:t>
      </w:r>
      <w:r w:rsidRPr="004C6C14">
        <w:rPr>
          <w:i/>
          <w:spacing w:val="6"/>
          <w:sz w:val="26"/>
          <w:szCs w:val="26"/>
        </w:rPr>
        <w:t xml:space="preserve">... </w:t>
      </w:r>
      <w:r w:rsidRPr="004C6C14">
        <w:rPr>
          <w:i/>
          <w:spacing w:val="6"/>
          <w:sz w:val="26"/>
          <w:szCs w:val="26"/>
          <w:lang w:val="es-ES"/>
        </w:rPr>
        <w:t>el método de comprobación consistente en la estimación por referencia a valores catastrales, multiplicados por índices o coeficientes (artículo 57.1.b) de la Ley General Tributaria) no es idóneo, por su generalidad y falta de relación con el bien concreto de cuya estimación se trata, para la valoración de bienes inmuebles en aquellos impuestos en que la base imponible viene determinada legalmente por su valor real, salvo que tal método se complemente con la realización de una actividad estrictamente comprobadora directamente relacionada con el inmueble singular que se someta a avalúo...</w:t>
      </w:r>
      <w:r w:rsidRPr="004C6C14">
        <w:rPr>
          <w:spacing w:val="6"/>
          <w:sz w:val="26"/>
          <w:szCs w:val="26"/>
          <w:lang w:val="es-ES"/>
        </w:rPr>
        <w:t>”.</w:t>
      </w:r>
    </w:p>
    <w:p w14:paraId="3C4500CF" w14:textId="77777777" w:rsidR="004C6C14" w:rsidRDefault="00C23E65" w:rsidP="0051763F">
      <w:pPr>
        <w:spacing w:line="280" w:lineRule="atLeast"/>
        <w:ind w:left="1224"/>
        <w:jc w:val="both"/>
        <w:rPr>
          <w:spacing w:val="6"/>
          <w:sz w:val="26"/>
          <w:szCs w:val="26"/>
          <w:lang w:val="es-ES"/>
        </w:rPr>
      </w:pPr>
      <w:r>
        <w:rPr>
          <w:spacing w:val="6"/>
          <w:sz w:val="26"/>
          <w:szCs w:val="26"/>
          <w:lang w:val="es-ES"/>
        </w:rPr>
        <w:t xml:space="preserve">La </w:t>
      </w:r>
      <w:hyperlink r:id="rId17" w:history="1">
        <w:r w:rsidRPr="00C23E65">
          <w:rPr>
            <w:rStyle w:val="Hipervnculo"/>
            <w:spacing w:val="6"/>
            <w:sz w:val="26"/>
            <w:szCs w:val="26"/>
            <w:lang w:val="es-ES"/>
          </w:rPr>
          <w:t>Sentencia del Tribunal Supremo de 23 de abril de 2019</w:t>
        </w:r>
      </w:hyperlink>
      <w:r w:rsidR="00755C16" w:rsidRPr="008B0B49">
        <w:rPr>
          <w:rStyle w:val="Refdenotaalfinal"/>
          <w:b/>
          <w:spacing w:val="6"/>
          <w:sz w:val="28"/>
          <w:szCs w:val="28"/>
          <w:lang w:val="es-ES"/>
        </w:rPr>
        <w:endnoteReference w:id="3"/>
      </w:r>
      <w:r>
        <w:rPr>
          <w:spacing w:val="6"/>
          <w:sz w:val="26"/>
          <w:szCs w:val="26"/>
          <w:lang w:val="es-ES"/>
        </w:rPr>
        <w:t xml:space="preserve"> ha declarado que “</w:t>
      </w:r>
      <w:r w:rsidRPr="00C23E65">
        <w:rPr>
          <w:i/>
          <w:spacing w:val="6"/>
          <w:sz w:val="26"/>
          <w:szCs w:val="26"/>
          <w:lang w:val="es-ES"/>
        </w:rPr>
        <w:t xml:space="preserve">... </w:t>
      </w:r>
      <w:r>
        <w:rPr>
          <w:spacing w:val="6"/>
          <w:sz w:val="26"/>
          <w:szCs w:val="26"/>
          <w:lang w:val="es-ES"/>
        </w:rPr>
        <w:t xml:space="preserve">[la Administración] </w:t>
      </w:r>
      <w:r w:rsidRPr="00C23E65">
        <w:rPr>
          <w:i/>
          <w:spacing w:val="6"/>
          <w:sz w:val="26"/>
          <w:szCs w:val="26"/>
          <w:lang w:val="es-ES"/>
        </w:rPr>
        <w:t>no podía comprobar un valor fijado conforme a sus propios criterios, pues se lo impedía el inciso final del artículo 134.1 LGT, que es expresión positiva en este concreto ámbito del principio de seguridad jurídica, proclamado en el artículo 9.3 de la Constitución española, y de sus corolarios consistentes en que no cabe defraudar la confianza legítima originada en los administrados por la propia Administración y en que esta última no puede ir contra sus propios actos...</w:t>
      </w:r>
      <w:r>
        <w:rPr>
          <w:spacing w:val="6"/>
          <w:sz w:val="26"/>
          <w:szCs w:val="26"/>
          <w:lang w:val="es-ES"/>
        </w:rPr>
        <w:t>”.</w:t>
      </w:r>
      <w:r w:rsidR="00516907">
        <w:rPr>
          <w:spacing w:val="6"/>
          <w:sz w:val="26"/>
          <w:szCs w:val="26"/>
          <w:lang w:val="es-ES"/>
        </w:rPr>
        <w:t xml:space="preserve"> En el mis</w:t>
      </w:r>
      <w:r w:rsidR="00FC19B6">
        <w:rPr>
          <w:spacing w:val="6"/>
          <w:sz w:val="26"/>
          <w:szCs w:val="26"/>
          <w:lang w:val="es-ES"/>
        </w:rPr>
        <w:t xml:space="preserve">mo sentido la </w:t>
      </w:r>
      <w:hyperlink r:id="rId18" w:history="1">
        <w:r w:rsidR="00FC19B6" w:rsidRPr="00FC19B6">
          <w:rPr>
            <w:rStyle w:val="Hipervnculo"/>
            <w:spacing w:val="6"/>
            <w:sz w:val="26"/>
            <w:szCs w:val="26"/>
            <w:lang w:val="es-ES"/>
          </w:rPr>
          <w:t>Resolución DGT de 30 de mayo de 2019</w:t>
        </w:r>
      </w:hyperlink>
      <w:r w:rsidR="00FC19B6">
        <w:rPr>
          <w:spacing w:val="6"/>
          <w:sz w:val="26"/>
          <w:szCs w:val="26"/>
          <w:lang w:val="es-ES"/>
        </w:rPr>
        <w:t xml:space="preserve"> (V1219-19)</w:t>
      </w:r>
      <w:r w:rsidR="00D1655D" w:rsidRPr="00D1655D">
        <w:rPr>
          <w:rStyle w:val="Refdenotaalfinal"/>
          <w:b/>
          <w:spacing w:val="6"/>
          <w:sz w:val="28"/>
          <w:szCs w:val="28"/>
          <w:lang w:val="es-ES"/>
        </w:rPr>
        <w:endnoteReference w:id="4"/>
      </w:r>
      <w:r w:rsidR="00FC19B6">
        <w:rPr>
          <w:spacing w:val="6"/>
          <w:sz w:val="26"/>
          <w:szCs w:val="26"/>
          <w:lang w:val="es-ES"/>
        </w:rPr>
        <w:t>.</w:t>
      </w:r>
    </w:p>
    <w:p w14:paraId="3E3CDE24" w14:textId="77777777" w:rsidR="00B6472E" w:rsidRDefault="00B6472E" w:rsidP="00B6472E">
      <w:pPr>
        <w:spacing w:line="280" w:lineRule="atLeast"/>
        <w:ind w:left="1224"/>
        <w:jc w:val="both"/>
        <w:rPr>
          <w:spacing w:val="6"/>
          <w:sz w:val="26"/>
          <w:szCs w:val="26"/>
          <w:lang w:val="es-ES"/>
        </w:rPr>
      </w:pPr>
      <w:r>
        <w:rPr>
          <w:spacing w:val="6"/>
          <w:sz w:val="26"/>
          <w:szCs w:val="26"/>
          <w:lang w:val="es-ES"/>
        </w:rPr>
        <w:t xml:space="preserve">Más recientemente, la </w:t>
      </w:r>
      <w:hyperlink r:id="rId19" w:history="1">
        <w:r w:rsidRPr="001A35F9">
          <w:rPr>
            <w:rStyle w:val="Hipervnculo"/>
            <w:spacing w:val="6"/>
            <w:sz w:val="26"/>
            <w:szCs w:val="26"/>
            <w:lang w:val="es-ES"/>
          </w:rPr>
          <w:t>Sentencia del Tribunal Supremo de 21 de enero de 2021</w:t>
        </w:r>
      </w:hyperlink>
      <w:r w:rsidRPr="00B6472E">
        <w:rPr>
          <w:rStyle w:val="Refdenotaalfinal"/>
          <w:b/>
          <w:spacing w:val="6"/>
          <w:sz w:val="26"/>
          <w:szCs w:val="26"/>
          <w:lang w:val="es-ES"/>
        </w:rPr>
        <w:endnoteReference w:id="5"/>
      </w:r>
      <w:r>
        <w:rPr>
          <w:spacing w:val="6"/>
          <w:sz w:val="26"/>
          <w:szCs w:val="26"/>
          <w:lang w:val="es-ES"/>
        </w:rPr>
        <w:t xml:space="preserve"> insiste en las dos anteriores ideas:</w:t>
      </w:r>
    </w:p>
    <w:p w14:paraId="4022D5DB" w14:textId="77777777" w:rsidR="00B6472E" w:rsidRDefault="00B6472E" w:rsidP="00B6472E">
      <w:pPr>
        <w:spacing w:line="280" w:lineRule="atLeast"/>
        <w:ind w:left="1224"/>
        <w:jc w:val="both"/>
        <w:rPr>
          <w:spacing w:val="6"/>
          <w:sz w:val="26"/>
          <w:szCs w:val="26"/>
          <w:lang w:val="es-ES"/>
        </w:rPr>
      </w:pPr>
      <w:r>
        <w:rPr>
          <w:spacing w:val="6"/>
          <w:sz w:val="26"/>
          <w:szCs w:val="26"/>
          <w:lang w:val="es-ES"/>
        </w:rPr>
        <w:t xml:space="preserve">- Que el perito de </w:t>
      </w:r>
      <w:r w:rsidRPr="001A35F9">
        <w:rPr>
          <w:spacing w:val="6"/>
          <w:sz w:val="26"/>
          <w:szCs w:val="26"/>
          <w:lang w:val="es-ES"/>
        </w:rPr>
        <w:t>la Administración efectúe una comprobación directa y personal del bien que s</w:t>
      </w:r>
      <w:r>
        <w:rPr>
          <w:spacing w:val="6"/>
          <w:sz w:val="26"/>
          <w:szCs w:val="26"/>
          <w:lang w:val="es-ES"/>
        </w:rPr>
        <w:t xml:space="preserve">e valora, mediante su visita si </w:t>
      </w:r>
      <w:r w:rsidRPr="001A35F9">
        <w:rPr>
          <w:spacing w:val="6"/>
          <w:sz w:val="26"/>
          <w:szCs w:val="26"/>
          <w:lang w:val="es-ES"/>
        </w:rPr>
        <w:t>es inmueble</w:t>
      </w:r>
      <w:r>
        <w:rPr>
          <w:spacing w:val="6"/>
          <w:sz w:val="26"/>
          <w:szCs w:val="26"/>
          <w:lang w:val="es-ES"/>
        </w:rPr>
        <w:t>.</w:t>
      </w:r>
    </w:p>
    <w:p w14:paraId="1373170A" w14:textId="77777777" w:rsidR="00F2517A" w:rsidRDefault="00B6472E" w:rsidP="00F2517A">
      <w:pPr>
        <w:spacing w:line="280" w:lineRule="atLeast"/>
        <w:ind w:left="1224"/>
        <w:jc w:val="both"/>
        <w:rPr>
          <w:spacing w:val="6"/>
          <w:sz w:val="26"/>
          <w:szCs w:val="26"/>
          <w:lang w:val="es-ES"/>
        </w:rPr>
      </w:pPr>
      <w:r>
        <w:rPr>
          <w:spacing w:val="6"/>
          <w:sz w:val="26"/>
          <w:szCs w:val="26"/>
          <w:lang w:val="es-ES"/>
        </w:rPr>
        <w:t xml:space="preserve">- Que </w:t>
      </w:r>
      <w:r w:rsidRPr="0051763F">
        <w:rPr>
          <w:spacing w:val="6"/>
          <w:sz w:val="26"/>
          <w:szCs w:val="26"/>
          <w:lang w:val="es-ES"/>
        </w:rPr>
        <w:t xml:space="preserve">si el contribuyente se somete a los valores presuntivos </w:t>
      </w:r>
      <w:r>
        <w:rPr>
          <w:spacing w:val="6"/>
          <w:sz w:val="26"/>
          <w:szCs w:val="26"/>
          <w:lang w:val="es-ES"/>
        </w:rPr>
        <w:t xml:space="preserve">aprobados </w:t>
      </w:r>
      <w:r w:rsidRPr="0051763F">
        <w:rPr>
          <w:spacing w:val="6"/>
          <w:sz w:val="26"/>
          <w:szCs w:val="26"/>
          <w:lang w:val="es-ES"/>
        </w:rPr>
        <w:t>con carácter general por la Administración, no es posible efectuar una</w:t>
      </w:r>
      <w:r>
        <w:rPr>
          <w:spacing w:val="6"/>
          <w:sz w:val="26"/>
          <w:szCs w:val="26"/>
          <w:lang w:val="es-ES"/>
        </w:rPr>
        <w:t xml:space="preserve"> </w:t>
      </w:r>
      <w:r w:rsidRPr="0051763F">
        <w:rPr>
          <w:spacing w:val="6"/>
          <w:sz w:val="26"/>
          <w:szCs w:val="26"/>
          <w:lang w:val="es-ES"/>
        </w:rPr>
        <w:t>ulterior comprobación</w:t>
      </w:r>
      <w:r>
        <w:rPr>
          <w:spacing w:val="6"/>
          <w:sz w:val="26"/>
          <w:szCs w:val="26"/>
          <w:lang w:val="es-ES"/>
        </w:rPr>
        <w:t>.</w:t>
      </w:r>
      <w:r>
        <w:rPr>
          <w:spacing w:val="6"/>
          <w:sz w:val="26"/>
          <w:szCs w:val="26"/>
          <w:lang w:val="es-ES"/>
        </w:rPr>
        <w:br/>
      </w:r>
      <w:r w:rsidR="00F2517A" w:rsidRPr="00F2517A">
        <w:rPr>
          <w:spacing w:val="6"/>
          <w:sz w:val="26"/>
          <w:szCs w:val="26"/>
          <w:lang w:val="es-ES"/>
        </w:rPr>
        <w:t>No se han aprobado los coeficientes para 2019</w:t>
      </w:r>
      <w:r w:rsidR="007D742A">
        <w:rPr>
          <w:spacing w:val="6"/>
          <w:sz w:val="26"/>
          <w:szCs w:val="26"/>
          <w:lang w:val="es-ES"/>
        </w:rPr>
        <w:t xml:space="preserve">, </w:t>
      </w:r>
      <w:r w:rsidR="00304CFE">
        <w:rPr>
          <w:spacing w:val="6"/>
          <w:sz w:val="26"/>
          <w:szCs w:val="26"/>
          <w:lang w:val="es-ES"/>
        </w:rPr>
        <w:t>2020</w:t>
      </w:r>
      <w:r w:rsidR="007D742A">
        <w:rPr>
          <w:spacing w:val="6"/>
          <w:sz w:val="26"/>
          <w:szCs w:val="26"/>
          <w:lang w:val="es-ES"/>
        </w:rPr>
        <w:t xml:space="preserve"> y 2021</w:t>
      </w:r>
      <w:r w:rsidR="00F2517A" w:rsidRPr="00F2517A">
        <w:rPr>
          <w:spacing w:val="6"/>
          <w:sz w:val="26"/>
          <w:szCs w:val="26"/>
          <w:lang w:val="es-ES"/>
        </w:rPr>
        <w:t xml:space="preserve">, sin que tampoco el texto del </w:t>
      </w:r>
      <w:hyperlink r:id="rId20" w:history="1">
        <w:r w:rsidR="00F2517A" w:rsidRPr="00F2517A">
          <w:rPr>
            <w:rStyle w:val="Hipervnculo"/>
            <w:spacing w:val="6"/>
            <w:sz w:val="26"/>
            <w:szCs w:val="26"/>
          </w:rPr>
          <w:t>Decreto asturiano 121/2013</w:t>
        </w:r>
      </w:hyperlink>
      <w:r w:rsidR="00F2517A" w:rsidRPr="00F2517A">
        <w:rPr>
          <w:spacing w:val="6"/>
          <w:sz w:val="26"/>
          <w:szCs w:val="26"/>
          <w:lang w:val="es-ES"/>
        </w:rPr>
        <w:t xml:space="preserve"> permita entender prorrogados los anteriores, lo que quizás tenga que ver con la expresada jurisprudencia.</w:t>
      </w:r>
    </w:p>
    <w:p w14:paraId="4147A45D" w14:textId="77777777" w:rsidR="00492CD2" w:rsidRPr="00492CD2" w:rsidRDefault="00DE0675" w:rsidP="00492CD2">
      <w:pPr>
        <w:spacing w:line="280" w:lineRule="atLeast"/>
        <w:ind w:left="1224"/>
        <w:jc w:val="both"/>
        <w:rPr>
          <w:spacing w:val="6"/>
          <w:sz w:val="26"/>
          <w:szCs w:val="26"/>
          <w:lang w:val="es-ES"/>
        </w:rPr>
      </w:pPr>
      <w:r>
        <w:rPr>
          <w:spacing w:val="6"/>
          <w:sz w:val="26"/>
          <w:szCs w:val="26"/>
          <w:lang w:val="es-ES"/>
        </w:rPr>
        <w:t>L</w:t>
      </w:r>
      <w:r w:rsidR="003E446B" w:rsidRPr="00F2517A">
        <w:rPr>
          <w:spacing w:val="6"/>
          <w:sz w:val="26"/>
          <w:szCs w:val="26"/>
          <w:lang w:val="es-ES"/>
        </w:rPr>
        <w:t>a propia</w:t>
      </w:r>
      <w:r w:rsidR="003E446B">
        <w:rPr>
          <w:spacing w:val="6"/>
          <w:sz w:val="26"/>
          <w:szCs w:val="26"/>
          <w:lang w:val="es-ES"/>
        </w:rPr>
        <w:t xml:space="preserve"> sede electrónica de los Servicios Tributarios del </w:t>
      </w:r>
      <w:r w:rsidR="00D40D98">
        <w:rPr>
          <w:spacing w:val="6"/>
          <w:sz w:val="26"/>
          <w:szCs w:val="26"/>
          <w:lang w:val="es-ES"/>
        </w:rPr>
        <w:t>Principado decía que no se enco</w:t>
      </w:r>
      <w:r>
        <w:rPr>
          <w:spacing w:val="6"/>
          <w:sz w:val="26"/>
          <w:szCs w:val="26"/>
          <w:lang w:val="es-ES"/>
        </w:rPr>
        <w:t>ntraban disponibles, aunque desde 2021 ofrecía</w:t>
      </w:r>
      <w:r w:rsidR="003E446B">
        <w:rPr>
          <w:spacing w:val="6"/>
          <w:sz w:val="26"/>
          <w:szCs w:val="26"/>
          <w:lang w:val="es-ES"/>
        </w:rPr>
        <w:t xml:space="preserve"> unos coeficientes con la siguiente advertencia: “</w:t>
      </w:r>
      <w:r w:rsidR="003E446B" w:rsidRPr="003E446B">
        <w:rPr>
          <w:i/>
          <w:spacing w:val="6"/>
          <w:sz w:val="26"/>
          <w:szCs w:val="26"/>
          <w:lang w:val="es-ES"/>
        </w:rPr>
        <w:t>... Estos coeficientes se facilitan como referencia para ayudar al contribuyente a estimar el valor real del bien en el momento de la transmisión. El valor obtenido no condiciona una posible comprobación de valor posterior por la Administración Tributaria...</w:t>
      </w:r>
      <w:r>
        <w:rPr>
          <w:spacing w:val="6"/>
          <w:sz w:val="26"/>
          <w:szCs w:val="26"/>
          <w:lang w:val="es-ES"/>
        </w:rPr>
        <w:t>”.</w:t>
      </w:r>
      <w:r>
        <w:rPr>
          <w:spacing w:val="6"/>
          <w:sz w:val="26"/>
          <w:szCs w:val="26"/>
          <w:lang w:val="es-ES"/>
        </w:rPr>
        <w:br/>
        <w:t>Todo ello hasta</w:t>
      </w:r>
      <w:r w:rsidR="003E446B">
        <w:rPr>
          <w:spacing w:val="6"/>
          <w:sz w:val="26"/>
          <w:szCs w:val="26"/>
          <w:lang w:val="es-ES"/>
        </w:rPr>
        <w:t xml:space="preserve"> la efectividad en 2022 del llamado </w:t>
      </w:r>
      <w:r w:rsidR="000C4A9F">
        <w:rPr>
          <w:rFonts w:ascii="Times New Roman" w:eastAsia="SimSun" w:hAnsi="Times New Roman"/>
          <w:sz w:val="24"/>
          <w:szCs w:val="24"/>
          <w:lang w:eastAsia="zh-CN"/>
        </w:rPr>
        <w:t>«</w:t>
      </w:r>
      <w:r w:rsidR="003E446B">
        <w:rPr>
          <w:spacing w:val="6"/>
          <w:sz w:val="26"/>
          <w:szCs w:val="26"/>
          <w:lang w:val="es-ES"/>
        </w:rPr>
        <w:t>valor de referencia</w:t>
      </w:r>
      <w:r w:rsidR="000C4A9F" w:rsidRPr="00185E28">
        <w:rPr>
          <w:rFonts w:ascii="Times New Roman" w:eastAsia="SimSun" w:hAnsi="Times New Roman"/>
          <w:sz w:val="24"/>
          <w:szCs w:val="24"/>
          <w:lang w:eastAsia="zh-CN"/>
        </w:rPr>
        <w:t>»</w:t>
      </w:r>
      <w:r w:rsidR="003E446B">
        <w:rPr>
          <w:spacing w:val="6"/>
          <w:sz w:val="26"/>
          <w:szCs w:val="26"/>
          <w:lang w:val="es-ES"/>
        </w:rPr>
        <w:t xml:space="preserve"> previsto en la </w:t>
      </w:r>
      <w:hyperlink r:id="rId21" w:history="1">
        <w:r w:rsidR="003E446B" w:rsidRPr="00CE4074">
          <w:rPr>
            <w:rStyle w:val="Hipervnculo"/>
            <w:spacing w:val="6"/>
            <w:sz w:val="26"/>
            <w:szCs w:val="26"/>
            <w:lang w:val="es-ES"/>
          </w:rPr>
          <w:t>Ley 11/2021</w:t>
        </w:r>
      </w:hyperlink>
      <w:r w:rsidR="007A0BB4">
        <w:rPr>
          <w:spacing w:val="6"/>
          <w:sz w:val="26"/>
          <w:szCs w:val="26"/>
          <w:lang w:val="es-ES"/>
        </w:rPr>
        <w:t>.</w:t>
      </w:r>
    </w:p>
    <w:p w14:paraId="7479536E" w14:textId="77777777" w:rsidR="004C6C14" w:rsidRPr="009524D4" w:rsidRDefault="00B45CC9" w:rsidP="00C854F8">
      <w:pPr>
        <w:numPr>
          <w:ilvl w:val="2"/>
          <w:numId w:val="15"/>
        </w:numPr>
        <w:spacing w:line="280" w:lineRule="atLeast"/>
        <w:jc w:val="both"/>
        <w:rPr>
          <w:b/>
          <w:spacing w:val="6"/>
          <w:sz w:val="26"/>
          <w:szCs w:val="26"/>
        </w:rPr>
      </w:pPr>
      <w:bookmarkStart w:id="11" w:name="pasivo112"/>
      <w:bookmarkEnd w:id="11"/>
      <w:r w:rsidRPr="009524D4">
        <w:rPr>
          <w:b/>
          <w:spacing w:val="6"/>
          <w:sz w:val="26"/>
          <w:szCs w:val="26"/>
        </w:rPr>
        <w:lastRenderedPageBreak/>
        <w:t>E</w:t>
      </w:r>
      <w:r w:rsidR="004C6C14" w:rsidRPr="009524D4">
        <w:rPr>
          <w:b/>
          <w:spacing w:val="6"/>
          <w:sz w:val="26"/>
          <w:szCs w:val="26"/>
        </w:rPr>
        <w:t>n los préstamos hipotecarios</w:t>
      </w:r>
      <w:r w:rsidR="004C6C14" w:rsidRPr="004C6C14">
        <w:rPr>
          <w:b/>
          <w:spacing w:val="6"/>
          <w:sz w:val="26"/>
          <w:szCs w:val="26"/>
          <w:vertAlign w:val="superscript"/>
        </w:rPr>
        <w:endnoteReference w:id="6"/>
      </w:r>
      <w:r w:rsidRPr="009524D4">
        <w:rPr>
          <w:b/>
          <w:spacing w:val="6"/>
          <w:sz w:val="26"/>
          <w:szCs w:val="26"/>
        </w:rPr>
        <w:t xml:space="preserve"> el sujeto pasivo pasa a ser el prestamista</w:t>
      </w:r>
      <w:r w:rsidR="005C5865" w:rsidRPr="009524D4">
        <w:rPr>
          <w:b/>
          <w:spacing w:val="6"/>
          <w:sz w:val="26"/>
          <w:szCs w:val="26"/>
        </w:rPr>
        <w:t xml:space="preserve"> (desde 10/10/2018)</w:t>
      </w:r>
      <w:r w:rsidR="00C0327A" w:rsidRPr="009524D4">
        <w:rPr>
          <w:b/>
          <w:spacing w:val="6"/>
          <w:sz w:val="26"/>
          <w:szCs w:val="26"/>
        </w:rPr>
        <w:t xml:space="preserve"> y</w:t>
      </w:r>
      <w:r w:rsidRPr="009524D4">
        <w:rPr>
          <w:b/>
          <w:spacing w:val="6"/>
          <w:sz w:val="26"/>
          <w:szCs w:val="26"/>
        </w:rPr>
        <w:t xml:space="preserve"> se incrementa el</w:t>
      </w:r>
      <w:r w:rsidR="00C0327A" w:rsidRPr="009524D4">
        <w:rPr>
          <w:b/>
          <w:spacing w:val="6"/>
          <w:sz w:val="26"/>
          <w:szCs w:val="26"/>
        </w:rPr>
        <w:t xml:space="preserve"> tipo</w:t>
      </w:r>
      <w:r w:rsidRPr="009524D4">
        <w:rPr>
          <w:b/>
          <w:spacing w:val="6"/>
          <w:sz w:val="26"/>
          <w:szCs w:val="26"/>
        </w:rPr>
        <w:t xml:space="preserve"> asturiano</w:t>
      </w:r>
      <w:r w:rsidR="00C849F1" w:rsidRPr="009524D4">
        <w:rPr>
          <w:b/>
          <w:spacing w:val="6"/>
          <w:sz w:val="26"/>
          <w:szCs w:val="26"/>
        </w:rPr>
        <w:t xml:space="preserve"> al 1,5%</w:t>
      </w:r>
      <w:r w:rsidR="005C5865" w:rsidRPr="009524D4">
        <w:rPr>
          <w:b/>
          <w:spacing w:val="6"/>
          <w:sz w:val="26"/>
          <w:szCs w:val="26"/>
        </w:rPr>
        <w:t xml:space="preserve"> (desde 01/01/2019)</w:t>
      </w:r>
    </w:p>
    <w:p w14:paraId="6D82A662" w14:textId="77777777" w:rsidR="004C6C14" w:rsidRDefault="004C6C14" w:rsidP="004C6C14">
      <w:pPr>
        <w:spacing w:line="280" w:lineRule="atLeast"/>
        <w:ind w:left="1224"/>
        <w:jc w:val="both"/>
        <w:rPr>
          <w:spacing w:val="6"/>
          <w:sz w:val="26"/>
          <w:szCs w:val="26"/>
          <w:lang w:val="es-ES"/>
        </w:rPr>
      </w:pPr>
      <w:r w:rsidRPr="004C6C14">
        <w:rPr>
          <w:spacing w:val="6"/>
          <w:sz w:val="26"/>
          <w:szCs w:val="26"/>
          <w:lang w:val="es-ES"/>
        </w:rPr>
        <w:t xml:space="preserve">Después del </w:t>
      </w:r>
      <w:r w:rsidR="000C4A9F">
        <w:rPr>
          <w:rFonts w:ascii="Times New Roman" w:eastAsia="SimSun" w:hAnsi="Times New Roman"/>
          <w:sz w:val="24"/>
          <w:szCs w:val="24"/>
          <w:lang w:eastAsia="zh-CN"/>
        </w:rPr>
        <w:t>«</w:t>
      </w:r>
      <w:r w:rsidRPr="004C6C14">
        <w:rPr>
          <w:spacing w:val="6"/>
          <w:sz w:val="26"/>
          <w:szCs w:val="26"/>
          <w:lang w:val="es-ES"/>
        </w:rPr>
        <w:t>viaje a ninguna parte</w:t>
      </w:r>
      <w:r w:rsidR="000C4A9F" w:rsidRPr="00185E28">
        <w:rPr>
          <w:rFonts w:ascii="Times New Roman" w:eastAsia="SimSun" w:hAnsi="Times New Roman"/>
          <w:sz w:val="24"/>
          <w:szCs w:val="24"/>
          <w:lang w:eastAsia="zh-CN"/>
        </w:rPr>
        <w:t>»</w:t>
      </w:r>
      <w:r w:rsidRPr="004C6C14">
        <w:rPr>
          <w:spacing w:val="6"/>
          <w:sz w:val="26"/>
          <w:szCs w:val="26"/>
          <w:lang w:val="es-ES"/>
        </w:rPr>
        <w:t xml:space="preserve"> de las recientes sentencias del Tribunal Supremo, el </w:t>
      </w:r>
      <w:hyperlink r:id="rId22" w:history="1">
        <w:r w:rsidRPr="004C6C14">
          <w:rPr>
            <w:rStyle w:val="Hipervnculo"/>
            <w:spacing w:val="6"/>
            <w:sz w:val="26"/>
            <w:szCs w:val="26"/>
            <w:lang w:val="es-ES"/>
          </w:rPr>
          <w:t>Decreto-ley 17/2018</w:t>
        </w:r>
      </w:hyperlink>
      <w:r w:rsidRPr="004C6C14">
        <w:rPr>
          <w:spacing w:val="6"/>
          <w:sz w:val="26"/>
          <w:szCs w:val="26"/>
          <w:lang w:val="es-ES"/>
        </w:rPr>
        <w:t xml:space="preserve"> (en vigor desde el 10 de noviembre de 2018 y</w:t>
      </w:r>
      <w:r w:rsidR="00A93B51">
        <w:rPr>
          <w:spacing w:val="6"/>
          <w:sz w:val="26"/>
          <w:szCs w:val="26"/>
          <w:lang w:val="es-ES"/>
        </w:rPr>
        <w:t xml:space="preserve"> ya convalidado</w:t>
      </w:r>
      <w:r w:rsidRPr="004C6C14">
        <w:rPr>
          <w:spacing w:val="6"/>
          <w:sz w:val="26"/>
          <w:szCs w:val="26"/>
          <w:lang w:val="es-ES"/>
        </w:rPr>
        <w:t xml:space="preserve">) ha modificado el </w:t>
      </w:r>
      <w:hyperlink r:id="rId23" w:anchor="n2n2" w:history="1">
        <w:r w:rsidRPr="004C6C14">
          <w:rPr>
            <w:rStyle w:val="Hipervnculo"/>
            <w:spacing w:val="6"/>
            <w:sz w:val="26"/>
            <w:szCs w:val="26"/>
            <w:lang w:val="es-ES"/>
          </w:rPr>
          <w:t>artículo 29 del Decreto-legislativo 1/1993</w:t>
        </w:r>
      </w:hyperlink>
      <w:r w:rsidRPr="004C6C14">
        <w:rPr>
          <w:spacing w:val="6"/>
          <w:sz w:val="26"/>
          <w:szCs w:val="26"/>
          <w:u w:val="single"/>
          <w:lang w:val="es-ES"/>
        </w:rPr>
        <w:t xml:space="preserve"> </w:t>
      </w:r>
      <w:r w:rsidRPr="004C6C14">
        <w:rPr>
          <w:spacing w:val="6"/>
          <w:sz w:val="26"/>
          <w:szCs w:val="26"/>
          <w:lang w:val="es-ES"/>
        </w:rPr>
        <w:t xml:space="preserve">estableciendo respecto del Impuesto sobre Actos Jurídicos Documentados que </w:t>
      </w:r>
      <w:r w:rsidRPr="004C6C14">
        <w:rPr>
          <w:i/>
          <w:spacing w:val="6"/>
          <w:sz w:val="26"/>
          <w:szCs w:val="26"/>
          <w:lang w:val="es-ES"/>
        </w:rPr>
        <w:t>“... Cuando se trate de escrituras de préstamo con garantía hipotecaria, se considerará sujeto pasivo al prestamista...</w:t>
      </w:r>
      <w:r w:rsidRPr="004C6C14">
        <w:rPr>
          <w:spacing w:val="6"/>
          <w:sz w:val="26"/>
          <w:szCs w:val="26"/>
          <w:lang w:val="es-ES"/>
        </w:rPr>
        <w:t>”:</w:t>
      </w:r>
    </w:p>
    <w:p w14:paraId="4835EE85" w14:textId="77777777" w:rsidR="004C6C14" w:rsidRDefault="004C6C14" w:rsidP="00C854F8">
      <w:pPr>
        <w:numPr>
          <w:ilvl w:val="0"/>
          <w:numId w:val="37"/>
        </w:numPr>
        <w:spacing w:line="280" w:lineRule="atLeast"/>
        <w:ind w:left="1418" w:hanging="194"/>
        <w:jc w:val="both"/>
        <w:rPr>
          <w:spacing w:val="6"/>
          <w:sz w:val="26"/>
          <w:szCs w:val="26"/>
          <w:lang w:val="es-ES"/>
        </w:rPr>
      </w:pPr>
      <w:r w:rsidRPr="00C07E65">
        <w:rPr>
          <w:spacing w:val="6"/>
          <w:sz w:val="26"/>
          <w:szCs w:val="26"/>
          <w:lang w:val="es-ES"/>
        </w:rPr>
        <w:t xml:space="preserve">Envía a la basura todas las bonificaciones autonómicas que tienen como presupuesto determinadas cualidades </w:t>
      </w:r>
      <w:r w:rsidR="000C4A9F" w:rsidRPr="00C07E65">
        <w:rPr>
          <w:rFonts w:ascii="Times New Roman" w:eastAsia="SimSun" w:hAnsi="Times New Roman"/>
          <w:sz w:val="24"/>
          <w:szCs w:val="24"/>
          <w:lang w:eastAsia="zh-CN"/>
        </w:rPr>
        <w:t>«</w:t>
      </w:r>
      <w:r w:rsidRPr="00C07E65">
        <w:rPr>
          <w:spacing w:val="6"/>
          <w:sz w:val="26"/>
          <w:szCs w:val="26"/>
          <w:lang w:val="es-ES"/>
        </w:rPr>
        <w:t>subjetivas</w:t>
      </w:r>
      <w:r w:rsidR="000C4A9F" w:rsidRPr="00C07E65">
        <w:rPr>
          <w:rFonts w:ascii="Times New Roman" w:eastAsia="SimSun" w:hAnsi="Times New Roman"/>
          <w:sz w:val="24"/>
          <w:szCs w:val="24"/>
          <w:lang w:eastAsia="zh-CN"/>
        </w:rPr>
        <w:t>»</w:t>
      </w:r>
      <w:r w:rsidRPr="00C07E65">
        <w:rPr>
          <w:spacing w:val="6"/>
          <w:sz w:val="26"/>
          <w:szCs w:val="26"/>
          <w:lang w:val="es-ES"/>
        </w:rPr>
        <w:t xml:space="preserve"> del contribuyente (vivienda habitual, jóvenes, discapacitados, familias numerosas, zonas poco pobladas, etc), pues éste es una subclase del sujeto pasivo en contraposición al sustituto (</w:t>
      </w:r>
      <w:hyperlink r:id="rId24" w:anchor="a36" w:history="1">
        <w:r w:rsidRPr="00C07E65">
          <w:rPr>
            <w:rStyle w:val="Hipervnculo"/>
            <w:spacing w:val="6"/>
            <w:sz w:val="26"/>
            <w:szCs w:val="26"/>
            <w:lang w:val="es-ES"/>
          </w:rPr>
          <w:t>art. 36 de la Ley General Tributaria</w:t>
        </w:r>
      </w:hyperlink>
      <w:r w:rsidRPr="00C07E65">
        <w:rPr>
          <w:spacing w:val="6"/>
          <w:sz w:val="26"/>
          <w:szCs w:val="26"/>
          <w:lang w:val="es-ES"/>
        </w:rPr>
        <w:t>). Habrá entonces que analizar precepto por precepto cuando se habla de contribuyente o sujeto pasivo y cuando no.</w:t>
      </w:r>
    </w:p>
    <w:p w14:paraId="580C33F7" w14:textId="77777777" w:rsidR="004C6C14" w:rsidRDefault="004C6C14" w:rsidP="00C854F8">
      <w:pPr>
        <w:numPr>
          <w:ilvl w:val="0"/>
          <w:numId w:val="37"/>
        </w:numPr>
        <w:spacing w:line="280" w:lineRule="atLeast"/>
        <w:ind w:left="1418" w:hanging="194"/>
        <w:jc w:val="both"/>
        <w:rPr>
          <w:spacing w:val="6"/>
          <w:sz w:val="26"/>
          <w:szCs w:val="26"/>
          <w:lang w:val="es-ES"/>
        </w:rPr>
      </w:pPr>
      <w:r w:rsidRPr="00C07E65">
        <w:rPr>
          <w:spacing w:val="6"/>
          <w:sz w:val="26"/>
          <w:szCs w:val="26"/>
          <w:lang w:val="es-ES"/>
        </w:rPr>
        <w:t xml:space="preserve">Por la misma razón, se mantendrían determinadas exenciones estatales </w:t>
      </w:r>
      <w:r w:rsidR="000C4A9F" w:rsidRPr="00C07E65">
        <w:rPr>
          <w:rFonts w:ascii="Times New Roman" w:eastAsia="SimSun" w:hAnsi="Times New Roman"/>
          <w:sz w:val="24"/>
          <w:szCs w:val="24"/>
          <w:lang w:eastAsia="zh-CN"/>
        </w:rPr>
        <w:t>«</w:t>
      </w:r>
      <w:r w:rsidRPr="00C07E65">
        <w:rPr>
          <w:spacing w:val="6"/>
          <w:sz w:val="26"/>
          <w:szCs w:val="26"/>
          <w:lang w:val="es-ES"/>
        </w:rPr>
        <w:t>objetivas</w:t>
      </w:r>
      <w:r w:rsidR="000C4A9F" w:rsidRPr="00C07E65">
        <w:rPr>
          <w:rFonts w:ascii="Times New Roman" w:eastAsia="SimSun" w:hAnsi="Times New Roman"/>
          <w:sz w:val="24"/>
          <w:szCs w:val="24"/>
          <w:lang w:eastAsia="zh-CN"/>
        </w:rPr>
        <w:t>»</w:t>
      </w:r>
      <w:r w:rsidRPr="00C07E65">
        <w:rPr>
          <w:spacing w:val="6"/>
          <w:sz w:val="26"/>
          <w:szCs w:val="26"/>
          <w:lang w:val="es-ES"/>
        </w:rPr>
        <w:t xml:space="preserve"> como la de los préstamos hipotecarios para la adquisición de vivienda protegida (</w:t>
      </w:r>
      <w:hyperlink r:id="rId25" w:anchor="a45" w:history="1">
        <w:r w:rsidRPr="00C07E65">
          <w:rPr>
            <w:rStyle w:val="Hipervnculo"/>
            <w:spacing w:val="6"/>
            <w:sz w:val="26"/>
            <w:szCs w:val="26"/>
            <w:lang w:val="es-ES"/>
          </w:rPr>
          <w:t>art. 45-I-B-12-d del Decreto-legislativo 1/1993</w:t>
        </w:r>
      </w:hyperlink>
      <w:r w:rsidRPr="00C07E65">
        <w:rPr>
          <w:spacing w:val="6"/>
          <w:sz w:val="26"/>
          <w:szCs w:val="26"/>
          <w:lang w:val="es-ES"/>
        </w:rPr>
        <w:t>) o de inmuebles a la SAREB (</w:t>
      </w:r>
      <w:hyperlink r:id="rId26" w:anchor="df2" w:history="1">
        <w:r w:rsidRPr="00C07E65">
          <w:rPr>
            <w:rStyle w:val="Hipervnculo"/>
            <w:spacing w:val="6"/>
            <w:sz w:val="26"/>
            <w:szCs w:val="26"/>
            <w:lang w:val="es-ES"/>
          </w:rPr>
          <w:t>disposición adicional vigésima primera de la Ley 9/2012, tras su reforma por la disposición final segunda de la Ley 16/2013</w:t>
        </w:r>
      </w:hyperlink>
      <w:r w:rsidRPr="00C07E65">
        <w:rPr>
          <w:spacing w:val="6"/>
          <w:sz w:val="26"/>
          <w:szCs w:val="26"/>
          <w:lang w:val="es-ES"/>
        </w:rPr>
        <w:t xml:space="preserve">); además de la que se establece ahora cuando el prestatario sea alguna de las personas o entidades incluidas en el </w:t>
      </w:r>
      <w:hyperlink r:id="rId27" w:anchor="a45" w:history="1">
        <w:r w:rsidRPr="00C07E65">
          <w:rPr>
            <w:rStyle w:val="Hipervnculo"/>
            <w:spacing w:val="6"/>
            <w:sz w:val="26"/>
            <w:szCs w:val="26"/>
            <w:lang w:val="es-ES"/>
          </w:rPr>
          <w:t>art. 45-I-A del Decreto-legislativo 1/1993</w:t>
        </w:r>
      </w:hyperlink>
      <w:r w:rsidRPr="00C07E65">
        <w:rPr>
          <w:spacing w:val="6"/>
          <w:sz w:val="26"/>
          <w:szCs w:val="26"/>
          <w:lang w:val="es-ES"/>
        </w:rPr>
        <w:t>.</w:t>
      </w:r>
    </w:p>
    <w:p w14:paraId="673267CA" w14:textId="77777777" w:rsidR="004C6C14" w:rsidRPr="00C07E65" w:rsidRDefault="004C6C14" w:rsidP="00C854F8">
      <w:pPr>
        <w:numPr>
          <w:ilvl w:val="0"/>
          <w:numId w:val="37"/>
        </w:numPr>
        <w:spacing w:line="280" w:lineRule="atLeast"/>
        <w:ind w:left="1418" w:hanging="194"/>
        <w:jc w:val="both"/>
        <w:rPr>
          <w:spacing w:val="6"/>
          <w:sz w:val="26"/>
          <w:szCs w:val="26"/>
          <w:lang w:val="es-ES"/>
        </w:rPr>
      </w:pPr>
      <w:r w:rsidRPr="00C07E65">
        <w:rPr>
          <w:spacing w:val="6"/>
          <w:sz w:val="26"/>
          <w:szCs w:val="26"/>
          <w:lang w:val="es-ES"/>
        </w:rPr>
        <w:t xml:space="preserve">Se ha advertido que las cooperativas de crédito (por ejemplo, Cajamar, Caja Rural de Asturias, Caja Rural de Gijón, </w:t>
      </w:r>
      <w:r w:rsidR="00E515E2" w:rsidRPr="00C07E65">
        <w:rPr>
          <w:rFonts w:ascii="Times New Roman" w:eastAsia="Calibri" w:hAnsi="Times New Roman"/>
          <w:spacing w:val="6"/>
          <w:sz w:val="26"/>
          <w:szCs w:val="26"/>
          <w:lang w:val="es-ES" w:eastAsia="en-US"/>
        </w:rPr>
        <w:t xml:space="preserve">Laboral Kutxa, </w:t>
      </w:r>
      <w:r w:rsidRPr="00C07E65">
        <w:rPr>
          <w:spacing w:val="6"/>
          <w:sz w:val="26"/>
          <w:szCs w:val="26"/>
          <w:lang w:val="es-ES"/>
        </w:rPr>
        <w:t xml:space="preserve">etc.) podrían beneficiarse de una exención. Según el </w:t>
      </w:r>
      <w:hyperlink r:id="rId28" w:anchor="a39" w:history="1">
        <w:r w:rsidRPr="00C07E65">
          <w:rPr>
            <w:rStyle w:val="Hipervnculo"/>
            <w:spacing w:val="6"/>
            <w:sz w:val="26"/>
            <w:szCs w:val="26"/>
            <w:lang w:val="es-ES"/>
          </w:rPr>
          <w:t>art. 39-1 de la Ley 20/1990 sobre régimen fiscal de las Cooperativas</w:t>
        </w:r>
      </w:hyperlink>
      <w:r w:rsidRPr="00C07E65">
        <w:rPr>
          <w:spacing w:val="6"/>
          <w:sz w:val="26"/>
          <w:szCs w:val="26"/>
          <w:lang w:val="es-ES"/>
        </w:rPr>
        <w:t xml:space="preserve">, las cooperativas de crédito tienen la consideración de cooperativas protegidas; y según el </w:t>
      </w:r>
      <w:hyperlink r:id="rId29" w:anchor="a33" w:history="1">
        <w:r w:rsidRPr="00C07E65">
          <w:rPr>
            <w:rStyle w:val="Hipervnculo"/>
            <w:spacing w:val="6"/>
            <w:sz w:val="26"/>
            <w:szCs w:val="26"/>
            <w:lang w:val="es-ES"/>
          </w:rPr>
          <w:t>art. 33-1-b de la Ley 20/1990</w:t>
        </w:r>
      </w:hyperlink>
      <w:r w:rsidRPr="00C07E65">
        <w:rPr>
          <w:spacing w:val="6"/>
          <w:sz w:val="26"/>
          <w:szCs w:val="26"/>
          <w:lang w:val="es-ES"/>
        </w:rPr>
        <w:t>, “</w:t>
      </w:r>
      <w:r w:rsidRPr="00C07E65">
        <w:rPr>
          <w:i/>
          <w:spacing w:val="6"/>
          <w:sz w:val="26"/>
          <w:szCs w:val="26"/>
          <w:lang w:val="es-ES"/>
        </w:rPr>
        <w:t xml:space="preserve">... Las Cooperativas protegidas disfrutarán de los siguientes beneficios fiscales:.. En el Impuesto sobre Transmisiones Patrimoniales y Actos Jurídicos Documentados, exención, por cualquiera de los conceptos que puedan ser de aplicación, salvo el gravamen previsto en el artículo 31.1 del Texto refundido aprobado por Real Decreto Legislativo 3050/1980, de 30 de diciembre </w:t>
      </w:r>
      <w:r w:rsidRPr="00C07E65">
        <w:rPr>
          <w:spacing w:val="6"/>
          <w:sz w:val="26"/>
          <w:szCs w:val="26"/>
          <w:lang w:val="es-ES"/>
        </w:rPr>
        <w:t>[hoy Decreto-legislativo 1/1993]</w:t>
      </w:r>
      <w:r w:rsidRPr="00C07E65">
        <w:rPr>
          <w:i/>
          <w:spacing w:val="6"/>
          <w:sz w:val="26"/>
          <w:szCs w:val="26"/>
          <w:lang w:val="es-ES"/>
        </w:rPr>
        <w:t>, respecto de los actos, contratos y operaciones siguientes... La constitución y cancelación de préstamos...</w:t>
      </w:r>
      <w:r w:rsidRPr="00C07E65">
        <w:rPr>
          <w:spacing w:val="6"/>
          <w:sz w:val="26"/>
          <w:szCs w:val="26"/>
          <w:lang w:val="es-ES"/>
        </w:rPr>
        <w:t xml:space="preserve">”. Pero ello siempre que no se encuentren incursas en alguna de las circunstancias del </w:t>
      </w:r>
      <w:hyperlink r:id="rId30" w:anchor="a39" w:history="1">
        <w:r w:rsidRPr="00C07E65">
          <w:rPr>
            <w:rStyle w:val="Hipervnculo"/>
            <w:spacing w:val="6"/>
            <w:sz w:val="26"/>
            <w:szCs w:val="26"/>
            <w:lang w:val="es-ES"/>
          </w:rPr>
          <w:t>art. 39-2 de la Ley 20/1990</w:t>
        </w:r>
      </w:hyperlink>
      <w:r w:rsidRPr="00C07E65">
        <w:rPr>
          <w:spacing w:val="6"/>
          <w:sz w:val="26"/>
          <w:szCs w:val="26"/>
          <w:lang w:val="es-ES"/>
        </w:rPr>
        <w:t>.</w:t>
      </w:r>
    </w:p>
    <w:p w14:paraId="13C4A127" w14:textId="77777777" w:rsidR="00E64187" w:rsidRDefault="0022482A" w:rsidP="00C07E65">
      <w:pPr>
        <w:spacing w:line="280" w:lineRule="atLeast"/>
        <w:ind w:left="1440"/>
        <w:jc w:val="both"/>
        <w:rPr>
          <w:spacing w:val="6"/>
          <w:sz w:val="26"/>
          <w:szCs w:val="26"/>
          <w:lang w:val="es-ES"/>
        </w:rPr>
      </w:pPr>
      <w:r>
        <w:rPr>
          <w:spacing w:val="6"/>
          <w:sz w:val="26"/>
          <w:szCs w:val="26"/>
          <w:lang w:val="es-ES"/>
        </w:rPr>
        <w:t xml:space="preserve">Sin embargo, según el </w:t>
      </w:r>
      <w:hyperlink r:id="rId31" w:anchor="a45" w:history="1">
        <w:r w:rsidRPr="0020565E">
          <w:rPr>
            <w:rStyle w:val="Hipervnculo"/>
            <w:spacing w:val="6"/>
            <w:sz w:val="26"/>
            <w:szCs w:val="26"/>
            <w:lang w:val="es-ES"/>
          </w:rPr>
          <w:t>párrafo final del art. 45 del Decreto-legislativo 1/1993</w:t>
        </w:r>
      </w:hyperlink>
      <w:r>
        <w:rPr>
          <w:spacing w:val="6"/>
          <w:sz w:val="26"/>
          <w:szCs w:val="26"/>
          <w:lang w:val="es-ES"/>
        </w:rPr>
        <w:t xml:space="preserve"> (añadido por </w:t>
      </w:r>
      <w:hyperlink r:id="rId32" w:anchor="cpdf2" w:history="1">
        <w:r w:rsidRPr="0022482A">
          <w:rPr>
            <w:rStyle w:val="Hipervnculo"/>
            <w:spacing w:val="6"/>
            <w:sz w:val="26"/>
            <w:szCs w:val="26"/>
            <w:lang w:val="es-ES"/>
          </w:rPr>
          <w:t xml:space="preserve">disposición final segunda de la </w:t>
        </w:r>
        <w:r w:rsidRPr="0022482A">
          <w:rPr>
            <w:rStyle w:val="Hipervnculo"/>
            <w:spacing w:val="6"/>
            <w:sz w:val="26"/>
            <w:szCs w:val="26"/>
            <w:lang w:val="es-ES"/>
          </w:rPr>
          <w:lastRenderedPageBreak/>
          <w:t>Ley 5/2019</w:t>
        </w:r>
      </w:hyperlink>
      <w:r>
        <w:rPr>
          <w:spacing w:val="6"/>
          <w:sz w:val="26"/>
          <w:szCs w:val="26"/>
          <w:lang w:val="es-ES"/>
        </w:rPr>
        <w:t>, en vigor desde el 16 de junio de 2019), “</w:t>
      </w:r>
      <w:r w:rsidRPr="0022482A">
        <w:rPr>
          <w:i/>
          <w:spacing w:val="6"/>
          <w:sz w:val="26"/>
          <w:szCs w:val="26"/>
          <w:lang w:val="es-ES"/>
        </w:rPr>
        <w:t>... Los beneficios fiscales y exenciones subjetivas concedidos por esta u otras leyes en la modalidad de cuota variable de documentos notariales del impuesto sobre actos jurídicos documentados no serán aplicables en las operaciones en las que el sujeto pasivo se determine en función del párrafo segundo del artículo 29 del Texto Refundido, salvo que se dispusiese expresamente otra cosa...</w:t>
      </w:r>
      <w:r>
        <w:rPr>
          <w:spacing w:val="6"/>
          <w:sz w:val="26"/>
          <w:szCs w:val="26"/>
          <w:lang w:val="es-ES"/>
        </w:rPr>
        <w:t>”</w:t>
      </w:r>
      <w:r w:rsidR="00E64187">
        <w:rPr>
          <w:spacing w:val="6"/>
          <w:sz w:val="26"/>
          <w:szCs w:val="26"/>
          <w:lang w:val="es-ES"/>
        </w:rPr>
        <w:t>.</w:t>
      </w:r>
    </w:p>
    <w:p w14:paraId="796716CD" w14:textId="77777777" w:rsidR="0022482A" w:rsidRDefault="00E64187" w:rsidP="00C07E65">
      <w:pPr>
        <w:spacing w:line="280" w:lineRule="atLeast"/>
        <w:ind w:left="1440"/>
        <w:jc w:val="both"/>
        <w:rPr>
          <w:spacing w:val="6"/>
          <w:sz w:val="26"/>
          <w:szCs w:val="26"/>
          <w:lang w:val="es-ES"/>
        </w:rPr>
      </w:pPr>
      <w:r>
        <w:rPr>
          <w:spacing w:val="6"/>
          <w:sz w:val="26"/>
          <w:szCs w:val="26"/>
          <w:lang w:val="es-ES"/>
        </w:rPr>
        <w:t xml:space="preserve">El </w:t>
      </w:r>
      <w:hyperlink r:id="rId33" w:history="1">
        <w:r w:rsidRPr="00E64187">
          <w:rPr>
            <w:rStyle w:val="Hipervnculo"/>
            <w:spacing w:val="6"/>
            <w:sz w:val="26"/>
            <w:szCs w:val="26"/>
            <w:lang w:val="es-ES"/>
          </w:rPr>
          <w:t>Informe de la Dirección General de Tributos  de 1 de abril de 2019</w:t>
        </w:r>
      </w:hyperlink>
      <w:r>
        <w:rPr>
          <w:spacing w:val="6"/>
          <w:sz w:val="26"/>
          <w:szCs w:val="26"/>
          <w:lang w:val="es-ES"/>
        </w:rPr>
        <w:t xml:space="preserve"> entiende que los préstamos en los que intervengan tales entidades con anterioridad a la entrada en vigor de la reforma, están exentos del IAJD tanto si actúan como prestamistas como prestatarias.</w:t>
      </w:r>
    </w:p>
    <w:p w14:paraId="02E2BB2D" w14:textId="77777777" w:rsidR="00E64EC6" w:rsidRPr="00C07E65" w:rsidRDefault="00E64EC6" w:rsidP="00C854F8">
      <w:pPr>
        <w:numPr>
          <w:ilvl w:val="0"/>
          <w:numId w:val="38"/>
        </w:numPr>
        <w:spacing w:line="280" w:lineRule="atLeast"/>
        <w:ind w:left="1418" w:hanging="194"/>
        <w:jc w:val="both"/>
        <w:rPr>
          <w:spacing w:val="6"/>
          <w:sz w:val="26"/>
          <w:szCs w:val="26"/>
          <w:lang w:val="es-ES"/>
        </w:rPr>
      </w:pPr>
      <w:r w:rsidRPr="00C07E65">
        <w:rPr>
          <w:spacing w:val="6"/>
          <w:sz w:val="26"/>
          <w:szCs w:val="26"/>
          <w:lang w:val="es-ES"/>
        </w:rPr>
        <w:t xml:space="preserve">Y para rematar, el </w:t>
      </w:r>
      <w:hyperlink r:id="rId34" w:anchor="c5s1" w:history="1">
        <w:r w:rsidRPr="00C07E65">
          <w:rPr>
            <w:rStyle w:val="Hipervnculo"/>
            <w:spacing w:val="6"/>
            <w:sz w:val="26"/>
            <w:szCs w:val="26"/>
            <w:lang w:val="es-ES"/>
          </w:rPr>
          <w:t>art. 38 de la Ley asturiana 14/2018</w:t>
        </w:r>
      </w:hyperlink>
      <w:r w:rsidRPr="00C07E65">
        <w:rPr>
          <w:spacing w:val="6"/>
          <w:sz w:val="26"/>
          <w:szCs w:val="26"/>
          <w:lang w:val="es-ES"/>
        </w:rPr>
        <w:t xml:space="preserve"> (en vigor desde el 1 de enero de 2019) añade un art. 34 bis al Decreto-legislativo 2/2014, según el cual, “</w:t>
      </w:r>
      <w:r w:rsidRPr="00C07E65">
        <w:rPr>
          <w:i/>
          <w:spacing w:val="6"/>
          <w:sz w:val="26"/>
          <w:szCs w:val="26"/>
          <w:lang w:val="es-ES"/>
        </w:rPr>
        <w:t>... Se aplicará el tipo del 1,5 por ciento a las escrituras que documenten préstamos con garantía hipotecaria...</w:t>
      </w:r>
      <w:r w:rsidRPr="00C07E65">
        <w:rPr>
          <w:spacing w:val="6"/>
          <w:sz w:val="26"/>
          <w:szCs w:val="26"/>
          <w:lang w:val="es-ES"/>
        </w:rPr>
        <w:t>”, frente al tipo general del IAJD del 1,20%.</w:t>
      </w:r>
    </w:p>
    <w:p w14:paraId="4F3354D6" w14:textId="77777777" w:rsidR="00A40BB5" w:rsidRPr="009524D4" w:rsidRDefault="00A40BB5" w:rsidP="00C854F8">
      <w:pPr>
        <w:numPr>
          <w:ilvl w:val="2"/>
          <w:numId w:val="15"/>
        </w:numPr>
        <w:spacing w:line="280" w:lineRule="atLeast"/>
        <w:jc w:val="both"/>
        <w:rPr>
          <w:b/>
          <w:spacing w:val="6"/>
          <w:sz w:val="26"/>
          <w:szCs w:val="26"/>
        </w:rPr>
      </w:pPr>
      <w:bookmarkStart w:id="12" w:name="suspensión723"/>
      <w:bookmarkEnd w:id="12"/>
      <w:r w:rsidRPr="009524D4">
        <w:rPr>
          <w:b/>
          <w:spacing w:val="6"/>
          <w:sz w:val="26"/>
          <w:szCs w:val="26"/>
        </w:rPr>
        <w:t>Suspensión términos e interrupción plazos desde el 14/</w:t>
      </w:r>
      <w:r w:rsidR="00440CDA" w:rsidRPr="009524D4">
        <w:rPr>
          <w:b/>
          <w:spacing w:val="6"/>
          <w:sz w:val="26"/>
          <w:szCs w:val="26"/>
        </w:rPr>
        <w:t>03/2020 hasta terminación</w:t>
      </w:r>
      <w:r w:rsidRPr="009524D4">
        <w:rPr>
          <w:b/>
          <w:spacing w:val="6"/>
          <w:sz w:val="26"/>
          <w:szCs w:val="26"/>
        </w:rPr>
        <w:t xml:space="preserve"> de alarma por COVID-19</w:t>
      </w:r>
    </w:p>
    <w:p w14:paraId="7F4A6504" w14:textId="77777777" w:rsidR="00667319" w:rsidRDefault="006513B5" w:rsidP="005B741C">
      <w:pPr>
        <w:spacing w:line="280" w:lineRule="atLeast"/>
        <w:ind w:left="1224"/>
        <w:jc w:val="both"/>
        <w:rPr>
          <w:spacing w:val="6"/>
          <w:sz w:val="26"/>
          <w:szCs w:val="26"/>
          <w:lang w:val="es-ES"/>
        </w:rPr>
      </w:pPr>
      <w:hyperlink r:id="rId35" w:history="1">
        <w:r w:rsidRPr="006513B5">
          <w:rPr>
            <w:rStyle w:val="Hipervnculo"/>
            <w:spacing w:val="6"/>
            <w:sz w:val="26"/>
            <w:szCs w:val="26"/>
            <w:lang w:val="es-ES"/>
          </w:rPr>
          <w:t>Decreto asturiano 9/2020</w:t>
        </w:r>
      </w:hyperlink>
      <w:r w:rsidR="005B741C">
        <w:rPr>
          <w:spacing w:val="6"/>
          <w:sz w:val="26"/>
          <w:szCs w:val="26"/>
          <w:lang w:val="es-ES"/>
        </w:rPr>
        <w:t xml:space="preserve"> (BOPA 24/03/2020):</w:t>
      </w:r>
      <w:r>
        <w:rPr>
          <w:spacing w:val="6"/>
          <w:sz w:val="26"/>
          <w:szCs w:val="26"/>
          <w:lang w:val="es-ES"/>
        </w:rPr>
        <w:t xml:space="preserve"> </w:t>
      </w:r>
    </w:p>
    <w:p w14:paraId="64124209" w14:textId="77777777" w:rsidR="00667319" w:rsidRPr="00667319" w:rsidRDefault="00667319" w:rsidP="00667319">
      <w:pPr>
        <w:spacing w:line="280" w:lineRule="atLeast"/>
        <w:ind w:left="1224"/>
        <w:jc w:val="both"/>
        <w:rPr>
          <w:spacing w:val="6"/>
          <w:sz w:val="26"/>
          <w:szCs w:val="26"/>
          <w:lang w:val="es-ES"/>
        </w:rPr>
      </w:pPr>
      <w:r w:rsidRPr="00667319">
        <w:rPr>
          <w:spacing w:val="6"/>
          <w:sz w:val="26"/>
          <w:szCs w:val="26"/>
          <w:u w:val="single"/>
          <w:lang w:val="es-ES"/>
        </w:rPr>
        <w:t>Artículo único.—Suspensión de plazos en el ámbito tributario</w:t>
      </w:r>
      <w:r w:rsidRPr="00667319">
        <w:rPr>
          <w:spacing w:val="6"/>
          <w:sz w:val="26"/>
          <w:szCs w:val="26"/>
          <w:lang w:val="es-ES"/>
        </w:rPr>
        <w:t>.</w:t>
      </w:r>
    </w:p>
    <w:p w14:paraId="2B7C4F94" w14:textId="77777777" w:rsidR="00667319" w:rsidRPr="00667319" w:rsidRDefault="00667319" w:rsidP="00667319">
      <w:pPr>
        <w:spacing w:line="280" w:lineRule="atLeast"/>
        <w:ind w:left="1224"/>
        <w:jc w:val="both"/>
        <w:rPr>
          <w:spacing w:val="6"/>
          <w:sz w:val="26"/>
          <w:szCs w:val="26"/>
          <w:lang w:val="es-ES"/>
        </w:rPr>
      </w:pPr>
      <w:r w:rsidRPr="00667319">
        <w:rPr>
          <w:spacing w:val="6"/>
          <w:sz w:val="26"/>
          <w:szCs w:val="26"/>
          <w:lang w:val="es-ES"/>
        </w:rPr>
        <w:t>1. Se suspenden los términos y se interrumpen los plazos para la tramitación de los procedimientos tributarios gestionados por el Principado de Asturias, salvo lo previsto a estos efectos en el artículo 33 del Real Decreto-ley 8/2020, de 17 de marzo, de medidas urgentes extraordinarias para hacer frente al impacto económico y social del COVID-19.</w:t>
      </w:r>
    </w:p>
    <w:p w14:paraId="5B05A15A" w14:textId="77777777" w:rsidR="00667319" w:rsidRPr="00667319" w:rsidRDefault="00667319" w:rsidP="00667319">
      <w:pPr>
        <w:spacing w:line="280" w:lineRule="atLeast"/>
        <w:ind w:left="1224"/>
        <w:jc w:val="both"/>
        <w:rPr>
          <w:spacing w:val="6"/>
          <w:sz w:val="26"/>
          <w:szCs w:val="26"/>
          <w:lang w:val="es-ES"/>
        </w:rPr>
      </w:pPr>
      <w:r w:rsidRPr="00667319">
        <w:rPr>
          <w:spacing w:val="6"/>
          <w:sz w:val="26"/>
          <w:szCs w:val="26"/>
          <w:lang w:val="es-ES"/>
        </w:rPr>
        <w:t>2. El cómputo de los plazos se reanudará en el momento en que pierda vigencia el Real Decreto 463/2020, de 14 de marzo, por el que se declara el estado de alarma para la gestión de la situación de crisis sanitaria ocasionada por el COVID-19 o, en su caso, las prórrogas del mismo.</w:t>
      </w:r>
    </w:p>
    <w:p w14:paraId="020BE991" w14:textId="77777777" w:rsidR="00667319" w:rsidRPr="00667319" w:rsidRDefault="00667319" w:rsidP="00667319">
      <w:pPr>
        <w:spacing w:line="280" w:lineRule="atLeast"/>
        <w:ind w:left="1224"/>
        <w:jc w:val="both"/>
        <w:rPr>
          <w:spacing w:val="6"/>
          <w:sz w:val="26"/>
          <w:szCs w:val="26"/>
          <w:lang w:val="es-ES"/>
        </w:rPr>
      </w:pPr>
      <w:r w:rsidRPr="00667319">
        <w:rPr>
          <w:spacing w:val="6"/>
          <w:sz w:val="26"/>
          <w:szCs w:val="26"/>
          <w:u w:val="single"/>
          <w:lang w:val="es-ES"/>
        </w:rPr>
        <w:t>Disposición transitoria única. Aplicación retroactiva</w:t>
      </w:r>
      <w:r w:rsidRPr="00667319">
        <w:rPr>
          <w:spacing w:val="6"/>
          <w:sz w:val="26"/>
          <w:szCs w:val="26"/>
          <w:lang w:val="es-ES"/>
        </w:rPr>
        <w:t>.</w:t>
      </w:r>
    </w:p>
    <w:p w14:paraId="1E0C1A6C" w14:textId="77777777" w:rsidR="00667319" w:rsidRPr="00667319" w:rsidRDefault="00667319" w:rsidP="00667319">
      <w:pPr>
        <w:spacing w:line="280" w:lineRule="atLeast"/>
        <w:ind w:left="1224"/>
        <w:jc w:val="both"/>
        <w:rPr>
          <w:spacing w:val="6"/>
          <w:sz w:val="26"/>
          <w:szCs w:val="26"/>
          <w:lang w:val="es-ES"/>
        </w:rPr>
      </w:pPr>
      <w:r w:rsidRPr="00667319">
        <w:rPr>
          <w:spacing w:val="6"/>
          <w:sz w:val="26"/>
          <w:szCs w:val="26"/>
          <w:lang w:val="es-ES"/>
        </w:rPr>
        <w:t>El presente decreto surtirá efectos retroactivos desde el 14 de marzo de 2020.</w:t>
      </w:r>
    </w:p>
    <w:p w14:paraId="515E644C" w14:textId="77777777" w:rsidR="00667319" w:rsidRPr="00667319" w:rsidRDefault="00667319" w:rsidP="00667319">
      <w:pPr>
        <w:spacing w:line="280" w:lineRule="atLeast"/>
        <w:ind w:left="1224"/>
        <w:jc w:val="both"/>
        <w:rPr>
          <w:spacing w:val="6"/>
          <w:sz w:val="26"/>
          <w:szCs w:val="26"/>
          <w:lang w:val="es-ES"/>
        </w:rPr>
      </w:pPr>
      <w:r w:rsidRPr="00667319">
        <w:rPr>
          <w:spacing w:val="6"/>
          <w:sz w:val="26"/>
          <w:szCs w:val="26"/>
          <w:u w:val="single"/>
          <w:lang w:val="es-ES"/>
        </w:rPr>
        <w:t>Disposición final única. Entrada en vigor</w:t>
      </w:r>
      <w:r w:rsidRPr="00667319">
        <w:rPr>
          <w:spacing w:val="6"/>
          <w:sz w:val="26"/>
          <w:szCs w:val="26"/>
          <w:lang w:val="es-ES"/>
        </w:rPr>
        <w:t>.</w:t>
      </w:r>
    </w:p>
    <w:p w14:paraId="2D3A97E5" w14:textId="77777777" w:rsidR="00667319" w:rsidRDefault="00667319" w:rsidP="00667319">
      <w:pPr>
        <w:spacing w:line="280" w:lineRule="atLeast"/>
        <w:ind w:left="1224"/>
        <w:jc w:val="both"/>
        <w:rPr>
          <w:spacing w:val="6"/>
          <w:sz w:val="26"/>
          <w:szCs w:val="26"/>
          <w:lang w:val="es-ES"/>
        </w:rPr>
      </w:pPr>
      <w:r w:rsidRPr="00667319">
        <w:rPr>
          <w:spacing w:val="6"/>
          <w:sz w:val="26"/>
          <w:szCs w:val="26"/>
          <w:lang w:val="es-ES"/>
        </w:rPr>
        <w:t>El presente decreto entrará en vigor el mismo día de su publicación en el Boletín Oficial del Principado de Asturias, sin perjuicio de lo dispuesto en la disposición transitoria única.</w:t>
      </w:r>
    </w:p>
    <w:p w14:paraId="3BE1EF54" w14:textId="77777777" w:rsidR="00C94DFD" w:rsidRDefault="00C94DFD" w:rsidP="00667319">
      <w:pPr>
        <w:spacing w:line="280" w:lineRule="atLeast"/>
        <w:ind w:left="1224"/>
        <w:jc w:val="both"/>
        <w:rPr>
          <w:spacing w:val="6"/>
          <w:sz w:val="26"/>
          <w:szCs w:val="26"/>
          <w:lang w:val="es-ES"/>
        </w:rPr>
      </w:pPr>
      <w:r>
        <w:rPr>
          <w:spacing w:val="6"/>
          <w:sz w:val="26"/>
          <w:szCs w:val="26"/>
          <w:lang w:val="es-ES"/>
        </w:rPr>
        <w:t>Según consulta, respondida informalmente</w:t>
      </w:r>
      <w:r w:rsidR="00B62DBC">
        <w:rPr>
          <w:spacing w:val="6"/>
          <w:sz w:val="26"/>
          <w:szCs w:val="26"/>
          <w:lang w:val="es-ES"/>
        </w:rPr>
        <w:t>,</w:t>
      </w:r>
      <w:r>
        <w:rPr>
          <w:spacing w:val="6"/>
          <w:sz w:val="26"/>
          <w:szCs w:val="26"/>
          <w:lang w:val="es-ES"/>
        </w:rPr>
        <w:t xml:space="preserve"> pero de manera atenta y por escrito</w:t>
      </w:r>
      <w:r w:rsidR="00B62DBC">
        <w:rPr>
          <w:spacing w:val="6"/>
          <w:sz w:val="26"/>
          <w:szCs w:val="26"/>
          <w:lang w:val="es-ES"/>
        </w:rPr>
        <w:t>,</w:t>
      </w:r>
      <w:r>
        <w:rPr>
          <w:spacing w:val="6"/>
          <w:sz w:val="26"/>
          <w:szCs w:val="26"/>
          <w:lang w:val="es-ES"/>
        </w:rPr>
        <w:t xml:space="preserve"> por la propia Directora General de Finanzas y Economía de la Consejería de Hacienda del Principado de Asturias</w:t>
      </w:r>
      <w:r w:rsidR="000D6961">
        <w:rPr>
          <w:spacing w:val="6"/>
          <w:sz w:val="26"/>
          <w:szCs w:val="26"/>
          <w:lang w:val="es-ES"/>
        </w:rPr>
        <w:t xml:space="preserve"> el día 3 de abril de 2020</w:t>
      </w:r>
      <w:r>
        <w:rPr>
          <w:spacing w:val="6"/>
          <w:sz w:val="26"/>
          <w:szCs w:val="26"/>
          <w:lang w:val="es-ES"/>
        </w:rPr>
        <w:t>:</w:t>
      </w:r>
    </w:p>
    <w:p w14:paraId="65A739C3" w14:textId="77777777" w:rsidR="00C94DFD" w:rsidRPr="00E178C8" w:rsidRDefault="000D6961" w:rsidP="00C854F8">
      <w:pPr>
        <w:numPr>
          <w:ilvl w:val="0"/>
          <w:numId w:val="29"/>
        </w:numPr>
        <w:spacing w:line="280" w:lineRule="atLeast"/>
        <w:jc w:val="both"/>
        <w:rPr>
          <w:spacing w:val="6"/>
          <w:sz w:val="26"/>
          <w:szCs w:val="26"/>
          <w:lang w:val="es-ES"/>
        </w:rPr>
      </w:pPr>
      <w:r w:rsidRPr="00E178C8">
        <w:rPr>
          <w:spacing w:val="6"/>
          <w:sz w:val="26"/>
          <w:szCs w:val="26"/>
          <w:lang w:val="es-ES"/>
        </w:rPr>
        <w:lastRenderedPageBreak/>
        <w:t>La interrupción significa que los plazos se reanudarán donde se encontraban, no se iniciará el plazo desde cero.</w:t>
      </w:r>
    </w:p>
    <w:p w14:paraId="5B5FDC48" w14:textId="77777777" w:rsidR="000D6961" w:rsidRPr="00667319" w:rsidRDefault="000D6961" w:rsidP="00C854F8">
      <w:pPr>
        <w:numPr>
          <w:ilvl w:val="0"/>
          <w:numId w:val="29"/>
        </w:numPr>
        <w:spacing w:after="60" w:line="280" w:lineRule="atLeast"/>
        <w:ind w:left="1582" w:hanging="357"/>
        <w:jc w:val="both"/>
        <w:rPr>
          <w:spacing w:val="6"/>
          <w:sz w:val="26"/>
          <w:szCs w:val="26"/>
          <w:lang w:val="es-ES"/>
        </w:rPr>
      </w:pPr>
      <w:r>
        <w:rPr>
          <w:spacing w:val="6"/>
          <w:sz w:val="26"/>
          <w:szCs w:val="26"/>
          <w:lang w:val="es-ES"/>
        </w:rPr>
        <w:t>La retroactividad implica que si un plazo hubiera vencido entre el día 14 y el 24 de marzo de 2020, se reanudará por el tiempo que le restase desde el día 14.</w:t>
      </w:r>
    </w:p>
    <w:p w14:paraId="0792AC52" w14:textId="77777777" w:rsidR="00EE1145" w:rsidRDefault="00EE1145" w:rsidP="00C854F8">
      <w:pPr>
        <w:numPr>
          <w:ilvl w:val="1"/>
          <w:numId w:val="15"/>
        </w:numPr>
        <w:spacing w:line="280" w:lineRule="atLeast"/>
        <w:jc w:val="both"/>
        <w:rPr>
          <w:b/>
          <w:spacing w:val="6"/>
          <w:sz w:val="22"/>
          <w:szCs w:val="22"/>
        </w:rPr>
      </w:pPr>
      <w:bookmarkStart w:id="13" w:name="A1"/>
      <w:bookmarkEnd w:id="13"/>
      <w:r>
        <w:rPr>
          <w:b/>
          <w:spacing w:val="6"/>
          <w:sz w:val="26"/>
          <w:szCs w:val="26"/>
        </w:rPr>
        <w:t>Normativa fiscal asturiana</w:t>
      </w:r>
    </w:p>
    <w:p w14:paraId="20E98A6D" w14:textId="77777777" w:rsidR="00EE1145" w:rsidRDefault="00EE1145">
      <w:pPr>
        <w:spacing w:line="280" w:lineRule="atLeast"/>
        <w:ind w:left="792"/>
        <w:jc w:val="both"/>
        <w:rPr>
          <w:bCs/>
          <w:spacing w:val="6"/>
          <w:sz w:val="26"/>
          <w:szCs w:val="26"/>
          <w:lang w:val="es-ES"/>
        </w:rPr>
      </w:pPr>
      <w:r>
        <w:rPr>
          <w:spacing w:val="6"/>
          <w:sz w:val="26"/>
          <w:szCs w:val="26"/>
        </w:rPr>
        <w:t xml:space="preserve">En general la específica normativa asturiana se contiene en el </w:t>
      </w:r>
      <w:hyperlink r:id="rId36" w:history="1">
        <w:r>
          <w:rPr>
            <w:rStyle w:val="Hipervnculo"/>
            <w:b/>
            <w:bCs/>
            <w:spacing w:val="6"/>
            <w:sz w:val="26"/>
            <w:szCs w:val="26"/>
          </w:rPr>
          <w:t>Decreto-legislativo 2/2014, de 22 de octubre, por el que se aprueba el Texto Refundido de las disposiciones legales del Principado de Asturias en materia de tributos cedidos por el Estado</w:t>
        </w:r>
      </w:hyperlink>
      <w:r>
        <w:rPr>
          <w:bCs/>
          <w:spacing w:val="6"/>
          <w:sz w:val="26"/>
          <w:szCs w:val="26"/>
          <w:lang w:val="es-ES"/>
        </w:rPr>
        <w:t>.</w:t>
      </w:r>
    </w:p>
    <w:p w14:paraId="3A7039C3" w14:textId="77777777" w:rsidR="00EE1145" w:rsidRDefault="00EE1145">
      <w:pPr>
        <w:spacing w:line="280" w:lineRule="atLeast"/>
        <w:ind w:left="792"/>
        <w:jc w:val="both"/>
        <w:rPr>
          <w:bCs/>
          <w:color w:val="000000"/>
          <w:spacing w:val="6"/>
          <w:sz w:val="26"/>
          <w:szCs w:val="26"/>
          <w:lang w:val="es-ES"/>
        </w:rPr>
      </w:pPr>
      <w:r>
        <w:rPr>
          <w:bCs/>
          <w:color w:val="000000"/>
          <w:spacing w:val="6"/>
          <w:sz w:val="26"/>
          <w:szCs w:val="26"/>
          <w:lang w:val="es-ES"/>
        </w:rPr>
        <w:t xml:space="preserve">En cuanto a sus antecedentes y reformas, </w:t>
      </w:r>
      <w:r w:rsidR="001D2D57">
        <w:rPr>
          <w:bCs/>
          <w:color w:val="000000"/>
          <w:spacing w:val="6"/>
          <w:sz w:val="26"/>
          <w:szCs w:val="26"/>
          <w:lang w:val="es-ES"/>
        </w:rPr>
        <w:t>destacar</w:t>
      </w:r>
      <w:r>
        <w:rPr>
          <w:bCs/>
          <w:color w:val="000000"/>
          <w:spacing w:val="6"/>
          <w:sz w:val="26"/>
          <w:szCs w:val="26"/>
          <w:lang w:val="es-ES"/>
        </w:rPr>
        <w:t>:</w:t>
      </w:r>
    </w:p>
    <w:p w14:paraId="7E64B039" w14:textId="77777777" w:rsidR="00EE1145" w:rsidRDefault="00EE1145">
      <w:pPr>
        <w:spacing w:line="280" w:lineRule="atLeast"/>
        <w:ind w:left="792"/>
        <w:jc w:val="both"/>
        <w:rPr>
          <w:rFonts w:ascii="Times New Roman" w:hAnsi="Times New Roman"/>
          <w:sz w:val="26"/>
          <w:szCs w:val="26"/>
        </w:rPr>
      </w:pPr>
      <w:r>
        <w:rPr>
          <w:bCs/>
          <w:color w:val="000000"/>
          <w:spacing w:val="6"/>
          <w:sz w:val="26"/>
          <w:szCs w:val="26"/>
          <w:lang w:val="es-ES"/>
        </w:rPr>
        <w:t xml:space="preserve">- Desde la </w:t>
      </w:r>
      <w:hyperlink r:id="rId37" w:history="1">
        <w:r>
          <w:rPr>
            <w:rStyle w:val="Hipervnculo"/>
            <w:bCs/>
            <w:spacing w:val="6"/>
            <w:sz w:val="26"/>
            <w:szCs w:val="26"/>
            <w:lang w:val="es-ES"/>
          </w:rPr>
          <w:t>Ley 6/2003</w:t>
        </w:r>
      </w:hyperlink>
      <w:r>
        <w:rPr>
          <w:bCs/>
          <w:color w:val="000000"/>
          <w:spacing w:val="6"/>
          <w:sz w:val="26"/>
          <w:szCs w:val="26"/>
          <w:lang w:val="es-ES"/>
        </w:rPr>
        <w:t xml:space="preserve">, para Sucesiones entre el 1 de enero de 2004 y la actualidad (pues el beneficio se ha mantenido parecido en las siguientes reformas), </w:t>
      </w:r>
      <w:r>
        <w:rPr>
          <w:rFonts w:ascii="Times New Roman" w:hAnsi="Times New Roman"/>
          <w:sz w:val="26"/>
          <w:szCs w:val="26"/>
        </w:rPr>
        <w:t>los del Grupo I casi no pagan al establecerse coeficientes multiplicadores de cero o próximos.</w:t>
      </w:r>
    </w:p>
    <w:p w14:paraId="77C9785C" w14:textId="77777777" w:rsidR="00EE1145" w:rsidRDefault="00EE1145">
      <w:pPr>
        <w:spacing w:line="280" w:lineRule="atLeast"/>
        <w:ind w:left="792"/>
        <w:jc w:val="both"/>
        <w:rPr>
          <w:rFonts w:ascii="Times New Roman" w:hAnsi="Times New Roman"/>
          <w:sz w:val="26"/>
          <w:szCs w:val="26"/>
        </w:rPr>
      </w:pPr>
      <w:r>
        <w:rPr>
          <w:bCs/>
          <w:color w:val="000000"/>
          <w:spacing w:val="6"/>
          <w:sz w:val="26"/>
          <w:szCs w:val="26"/>
          <w:lang w:val="es-ES"/>
        </w:rPr>
        <w:t xml:space="preserve">- Desde la </w:t>
      </w:r>
      <w:hyperlink r:id="rId38" w:history="1">
        <w:r>
          <w:rPr>
            <w:rStyle w:val="Hipervnculo"/>
            <w:bCs/>
            <w:spacing w:val="6"/>
            <w:sz w:val="26"/>
            <w:szCs w:val="26"/>
            <w:lang w:val="es-ES"/>
          </w:rPr>
          <w:t>Ley 11/2006</w:t>
        </w:r>
      </w:hyperlink>
      <w:r>
        <w:rPr>
          <w:bCs/>
          <w:color w:val="000000"/>
          <w:spacing w:val="6"/>
          <w:sz w:val="26"/>
          <w:szCs w:val="26"/>
          <w:lang w:val="es-ES"/>
        </w:rPr>
        <w:t xml:space="preserve">, para Sucesiones entre el 1 de enero de 2007 y el 31 de diciembre de 2008, </w:t>
      </w:r>
      <w:r>
        <w:rPr>
          <w:rFonts w:ascii="Times New Roman" w:hAnsi="Times New Roman"/>
          <w:sz w:val="26"/>
          <w:szCs w:val="26"/>
        </w:rPr>
        <w:t xml:space="preserve">los del Grupo II tenían bonificación del 100% en la cuota si la base imponible no excedía de 125.000  € y el patrimonio preexistente de 402.678,11 €; y para Sucesiones </w:t>
      </w:r>
      <w:r>
        <w:rPr>
          <w:bCs/>
          <w:color w:val="000000"/>
          <w:spacing w:val="6"/>
          <w:sz w:val="26"/>
          <w:szCs w:val="26"/>
          <w:lang w:val="es-ES"/>
        </w:rPr>
        <w:t xml:space="preserve">entre el 1 de enero de 2009 y el 31 de diciembre de 2016, la </w:t>
      </w:r>
      <w:hyperlink r:id="rId39" w:history="1">
        <w:r>
          <w:rPr>
            <w:rStyle w:val="Hipervnculo"/>
            <w:bCs/>
            <w:spacing w:val="6"/>
            <w:sz w:val="26"/>
            <w:szCs w:val="26"/>
            <w:lang w:val="es-ES"/>
          </w:rPr>
          <w:t>Ley 6/2008</w:t>
        </w:r>
      </w:hyperlink>
      <w:r>
        <w:rPr>
          <w:bCs/>
          <w:color w:val="000000"/>
          <w:spacing w:val="6"/>
          <w:sz w:val="26"/>
          <w:szCs w:val="26"/>
          <w:lang w:val="es-ES"/>
        </w:rPr>
        <w:t xml:space="preserve"> ha subido este límite a 150.000 €.</w:t>
      </w:r>
    </w:p>
    <w:p w14:paraId="071B52CB" w14:textId="77777777" w:rsidR="00EE1145" w:rsidRDefault="00EE1145">
      <w:pPr>
        <w:spacing w:line="280" w:lineRule="atLeast"/>
        <w:ind w:left="792"/>
        <w:jc w:val="both"/>
        <w:rPr>
          <w:rFonts w:ascii="Times New Roman" w:hAnsi="Times New Roman"/>
          <w:sz w:val="26"/>
          <w:szCs w:val="26"/>
        </w:rPr>
      </w:pPr>
      <w:r>
        <w:rPr>
          <w:rFonts w:ascii="Times New Roman" w:hAnsi="Times New Roman"/>
          <w:sz w:val="26"/>
          <w:szCs w:val="26"/>
        </w:rPr>
        <w:t xml:space="preserve">- Desde la </w:t>
      </w:r>
      <w:hyperlink r:id="rId40" w:history="1">
        <w:r>
          <w:rPr>
            <w:rStyle w:val="Hipervnculo"/>
            <w:rFonts w:ascii="Times New Roman" w:hAnsi="Times New Roman"/>
            <w:sz w:val="26"/>
            <w:szCs w:val="26"/>
          </w:rPr>
          <w:t>Ley 5/2010</w:t>
        </w:r>
      </w:hyperlink>
      <w:r>
        <w:rPr>
          <w:rFonts w:ascii="Times New Roman" w:hAnsi="Times New Roman"/>
          <w:sz w:val="26"/>
          <w:szCs w:val="26"/>
        </w:rPr>
        <w:t xml:space="preserve">, </w:t>
      </w:r>
      <w:r>
        <w:rPr>
          <w:bCs/>
          <w:color w:val="000000"/>
          <w:spacing w:val="6"/>
          <w:sz w:val="26"/>
          <w:szCs w:val="26"/>
          <w:lang w:val="es-ES"/>
        </w:rPr>
        <w:t>para Sucesiones y Donaciones entre el 15 de julio de 2010 y el 31 de diciembre de 2016, se sustituye la tarifa estatal por una tarifa propia</w:t>
      </w:r>
      <w:r>
        <w:rPr>
          <w:rFonts w:ascii="Times New Roman" w:hAnsi="Times New Roman"/>
          <w:sz w:val="26"/>
          <w:szCs w:val="26"/>
        </w:rPr>
        <w:t>.</w:t>
      </w:r>
    </w:p>
    <w:p w14:paraId="3E43E27B" w14:textId="77777777" w:rsidR="00EE1145" w:rsidRDefault="00EE1145">
      <w:pPr>
        <w:spacing w:line="280" w:lineRule="atLeast"/>
        <w:ind w:left="792"/>
        <w:jc w:val="both"/>
        <w:rPr>
          <w:rFonts w:ascii="Times New Roman" w:hAnsi="Times New Roman"/>
          <w:sz w:val="26"/>
          <w:szCs w:val="26"/>
        </w:rPr>
      </w:pPr>
      <w:r>
        <w:rPr>
          <w:rFonts w:ascii="Times New Roman" w:hAnsi="Times New Roman"/>
          <w:sz w:val="26"/>
          <w:szCs w:val="26"/>
        </w:rPr>
        <w:t xml:space="preserve">- El </w:t>
      </w:r>
      <w:hyperlink r:id="rId41" w:history="1">
        <w:r>
          <w:rPr>
            <w:rStyle w:val="Hipervnculo"/>
            <w:bCs/>
            <w:spacing w:val="6"/>
            <w:sz w:val="26"/>
            <w:szCs w:val="26"/>
          </w:rPr>
          <w:t>Decreto-legislativo 2/2014</w:t>
        </w:r>
      </w:hyperlink>
      <w:r>
        <w:rPr>
          <w:bCs/>
          <w:spacing w:val="6"/>
          <w:sz w:val="26"/>
          <w:szCs w:val="26"/>
        </w:rPr>
        <w:t xml:space="preserve"> refunde desde el 30 de octubre de 2014 la regulación hasta entonces vigente.</w:t>
      </w:r>
    </w:p>
    <w:p w14:paraId="4D544D05" w14:textId="77777777" w:rsidR="00EE1145" w:rsidRDefault="00EE1145">
      <w:pPr>
        <w:spacing w:line="280" w:lineRule="atLeast"/>
        <w:ind w:left="792"/>
        <w:jc w:val="both"/>
        <w:rPr>
          <w:rFonts w:ascii="Times New Roman" w:hAnsi="Times New Roman"/>
          <w:sz w:val="26"/>
          <w:szCs w:val="26"/>
        </w:rPr>
      </w:pPr>
      <w:r>
        <w:rPr>
          <w:rFonts w:ascii="Times New Roman" w:hAnsi="Times New Roman"/>
          <w:sz w:val="26"/>
          <w:szCs w:val="26"/>
        </w:rPr>
        <w:t xml:space="preserve">- La </w:t>
      </w:r>
      <w:hyperlink r:id="rId42" w:history="1">
        <w:r>
          <w:rPr>
            <w:rStyle w:val="Hipervnculo"/>
            <w:rFonts w:ascii="Times New Roman" w:hAnsi="Times New Roman"/>
            <w:sz w:val="26"/>
            <w:szCs w:val="26"/>
          </w:rPr>
          <w:t>Ley 6/2016</w:t>
        </w:r>
      </w:hyperlink>
      <w:r>
        <w:rPr>
          <w:rFonts w:ascii="Times New Roman" w:hAnsi="Times New Roman"/>
          <w:sz w:val="26"/>
          <w:szCs w:val="26"/>
        </w:rPr>
        <w:t xml:space="preserve">, para Sucesiones desde el 1 de enero de 2017 hasta el 31 de mayo de 2017, suprime la bonificación en la cuota para el Grupo II y establece una reducción por parentesco para Grupos I y II de 200.000 €. Modifica también la tarifa del impuesto, manteniendo la anterior tarifa general propia para Sucesiones y Donaciones y estableciendo otra específica para Sucesiones de los Grupos I y II (con tipos que van desde el 21,25 al 36,50%). Se mantienen para el Grupo I los coeficientes multiplicadores de cero o próximos en Sucesiones. </w:t>
      </w:r>
    </w:p>
    <w:p w14:paraId="361B8578" w14:textId="77777777" w:rsidR="00EE1145" w:rsidRDefault="00EE1145">
      <w:pPr>
        <w:spacing w:line="280" w:lineRule="atLeast"/>
        <w:ind w:left="792"/>
        <w:jc w:val="both"/>
        <w:rPr>
          <w:rFonts w:ascii="Times New Roman" w:hAnsi="Times New Roman"/>
          <w:sz w:val="26"/>
          <w:szCs w:val="26"/>
        </w:rPr>
      </w:pPr>
      <w:r>
        <w:rPr>
          <w:rFonts w:ascii="Times New Roman" w:hAnsi="Times New Roman"/>
          <w:sz w:val="26"/>
          <w:szCs w:val="26"/>
        </w:rPr>
        <w:t xml:space="preserve">- La </w:t>
      </w:r>
      <w:hyperlink r:id="rId43" w:history="1">
        <w:r>
          <w:rPr>
            <w:rStyle w:val="Hipervnculo"/>
            <w:rFonts w:ascii="Times New Roman" w:hAnsi="Times New Roman"/>
            <w:sz w:val="26"/>
            <w:szCs w:val="26"/>
          </w:rPr>
          <w:t>Ley 7/2017</w:t>
        </w:r>
      </w:hyperlink>
      <w:r>
        <w:rPr>
          <w:rFonts w:ascii="Times New Roman" w:hAnsi="Times New Roman"/>
          <w:sz w:val="26"/>
          <w:szCs w:val="26"/>
        </w:rPr>
        <w:t>, aplicable desde el 1 de junio de 2017, eleva la reducción en Sucesiones para Grupos I y II a 300.000 €; manteniéndose las anteriores tarifas en Sucesiones y Donaciones, así como para el Grupo I los coeficientes multiplicadores de cero o próximos en Sucesiones. Y desde el 1 de enero de 2018 establece una nueva tarifa para Donaciones, formalizadas en documento público, en favor de los Grupos I y II cuyo patrimonio preexistente, con exclusión de la vivienda habitual, no exceda de 402.678,11 € (con tipos, por ejemplo, del 2% hasta 10.000 € o del 5% para lo que exceda hasta 50.000 €).</w:t>
      </w:r>
    </w:p>
    <w:p w14:paraId="58DC1F77" w14:textId="77777777" w:rsidR="00B11DC7" w:rsidRDefault="00B11DC7">
      <w:pPr>
        <w:spacing w:line="280" w:lineRule="atLeast"/>
        <w:ind w:left="792"/>
        <w:jc w:val="both"/>
        <w:rPr>
          <w:rFonts w:ascii="Times New Roman" w:hAnsi="Times New Roman"/>
          <w:sz w:val="26"/>
          <w:szCs w:val="26"/>
          <w:lang w:val="es-ES"/>
        </w:rPr>
      </w:pPr>
      <w:r>
        <w:rPr>
          <w:rFonts w:ascii="Times New Roman" w:hAnsi="Times New Roman"/>
          <w:sz w:val="26"/>
          <w:szCs w:val="26"/>
        </w:rPr>
        <w:t xml:space="preserve">- </w:t>
      </w:r>
      <w:r>
        <w:rPr>
          <w:rFonts w:ascii="Times New Roman" w:hAnsi="Times New Roman"/>
          <w:sz w:val="26"/>
          <w:szCs w:val="26"/>
          <w:lang w:val="es-ES"/>
        </w:rPr>
        <w:t>La</w:t>
      </w:r>
      <w:r w:rsidRPr="00B11DC7">
        <w:rPr>
          <w:rFonts w:ascii="Times New Roman" w:hAnsi="Times New Roman"/>
          <w:sz w:val="26"/>
          <w:szCs w:val="26"/>
          <w:lang w:val="es-ES"/>
        </w:rPr>
        <w:t xml:space="preserve"> </w:t>
      </w:r>
      <w:hyperlink r:id="rId44" w:anchor="c5s1" w:history="1">
        <w:r w:rsidRPr="00B11DC7">
          <w:rPr>
            <w:rStyle w:val="Hipervnculo"/>
            <w:rFonts w:ascii="Times New Roman" w:hAnsi="Times New Roman"/>
            <w:sz w:val="26"/>
            <w:szCs w:val="26"/>
            <w:lang w:val="es-ES"/>
          </w:rPr>
          <w:t>Ley 14/2018</w:t>
        </w:r>
      </w:hyperlink>
      <w:r>
        <w:rPr>
          <w:rFonts w:ascii="Times New Roman" w:hAnsi="Times New Roman"/>
          <w:sz w:val="26"/>
          <w:szCs w:val="26"/>
        </w:rPr>
        <w:t>, aplicable desde el</w:t>
      </w:r>
      <w:r w:rsidRPr="00B11DC7">
        <w:rPr>
          <w:rFonts w:ascii="Times New Roman" w:hAnsi="Times New Roman"/>
          <w:sz w:val="26"/>
          <w:szCs w:val="26"/>
          <w:lang w:val="es-ES"/>
        </w:rPr>
        <w:t xml:space="preserve"> 1 de enero de 201</w:t>
      </w:r>
      <w:r>
        <w:rPr>
          <w:rFonts w:ascii="Times New Roman" w:hAnsi="Times New Roman"/>
          <w:sz w:val="26"/>
          <w:szCs w:val="26"/>
          <w:lang w:val="es-ES"/>
        </w:rPr>
        <w:t xml:space="preserve">9, eleva al 1,5% el tipo del IAJD para los préstamos hipotecarios, lo cual debe ponerse en </w:t>
      </w:r>
      <w:r>
        <w:rPr>
          <w:rFonts w:ascii="Times New Roman" w:hAnsi="Times New Roman"/>
          <w:sz w:val="26"/>
          <w:szCs w:val="26"/>
          <w:lang w:val="es-ES"/>
        </w:rPr>
        <w:lastRenderedPageBreak/>
        <w:t xml:space="preserve">relación con que desde el </w:t>
      </w:r>
      <w:hyperlink r:id="rId45" w:history="1">
        <w:r w:rsidRPr="00B11DC7">
          <w:rPr>
            <w:rStyle w:val="Hipervnculo"/>
            <w:rFonts w:ascii="Times New Roman" w:hAnsi="Times New Roman"/>
            <w:sz w:val="26"/>
            <w:szCs w:val="26"/>
            <w:lang w:val="es-ES"/>
          </w:rPr>
          <w:t>Decreto-ley</w:t>
        </w:r>
        <w:r>
          <w:rPr>
            <w:rStyle w:val="Hipervnculo"/>
            <w:rFonts w:ascii="Times New Roman" w:hAnsi="Times New Roman"/>
            <w:sz w:val="26"/>
            <w:szCs w:val="26"/>
            <w:lang w:val="es-ES"/>
          </w:rPr>
          <w:t xml:space="preserve"> estat</w:t>
        </w:r>
        <w:r w:rsidR="00E33030">
          <w:rPr>
            <w:rStyle w:val="Hipervnculo"/>
            <w:rFonts w:ascii="Times New Roman" w:hAnsi="Times New Roman"/>
            <w:sz w:val="26"/>
            <w:szCs w:val="26"/>
            <w:lang w:val="es-ES"/>
          </w:rPr>
          <w:t>a</w:t>
        </w:r>
        <w:r>
          <w:rPr>
            <w:rStyle w:val="Hipervnculo"/>
            <w:rFonts w:ascii="Times New Roman" w:hAnsi="Times New Roman"/>
            <w:sz w:val="26"/>
            <w:szCs w:val="26"/>
            <w:lang w:val="es-ES"/>
          </w:rPr>
          <w:t>l</w:t>
        </w:r>
        <w:r w:rsidRPr="00B11DC7">
          <w:rPr>
            <w:rStyle w:val="Hipervnculo"/>
            <w:rFonts w:ascii="Times New Roman" w:hAnsi="Times New Roman"/>
            <w:sz w:val="26"/>
            <w:szCs w:val="26"/>
            <w:lang w:val="es-ES"/>
          </w:rPr>
          <w:t xml:space="preserve"> 17/2018</w:t>
        </w:r>
      </w:hyperlink>
      <w:r w:rsidRPr="00B11DC7">
        <w:rPr>
          <w:rFonts w:ascii="Times New Roman" w:hAnsi="Times New Roman"/>
          <w:sz w:val="26"/>
          <w:szCs w:val="26"/>
          <w:lang w:val="es-ES"/>
        </w:rPr>
        <w:t xml:space="preserve"> (en vigor desde el 10 de noviembre de 2018</w:t>
      </w:r>
      <w:r>
        <w:rPr>
          <w:rFonts w:ascii="Times New Roman" w:hAnsi="Times New Roman"/>
          <w:sz w:val="26"/>
          <w:szCs w:val="26"/>
          <w:lang w:val="es-ES"/>
        </w:rPr>
        <w:t>) el sujeto pasivo pasa a ser el prestamista.</w:t>
      </w:r>
    </w:p>
    <w:p w14:paraId="0FAFEE07" w14:textId="77777777" w:rsidR="00DA77D5" w:rsidRDefault="00DA77D5" w:rsidP="00DA77D5">
      <w:pPr>
        <w:ind w:left="792"/>
        <w:jc w:val="both"/>
        <w:rPr>
          <w:rFonts w:ascii="CG Times" w:hAnsi="CG Times"/>
          <w:sz w:val="26"/>
          <w:szCs w:val="26"/>
          <w:lang w:val="es-ES"/>
        </w:rPr>
      </w:pPr>
      <w:r>
        <w:rPr>
          <w:rFonts w:ascii="Times New Roman" w:hAnsi="Times New Roman"/>
          <w:sz w:val="26"/>
          <w:szCs w:val="26"/>
          <w:lang w:val="es-ES"/>
        </w:rPr>
        <w:t xml:space="preserve">- La </w:t>
      </w:r>
      <w:hyperlink r:id="rId46" w:history="1">
        <w:r w:rsidRPr="007C4385">
          <w:rPr>
            <w:rStyle w:val="Hipervnculo"/>
            <w:rFonts w:ascii="CG Times" w:hAnsi="CG Times"/>
            <w:sz w:val="26"/>
            <w:szCs w:val="26"/>
            <w:lang w:val="es-ES"/>
          </w:rPr>
          <w:t>Ley 3/2020</w:t>
        </w:r>
      </w:hyperlink>
      <w:r>
        <w:rPr>
          <w:rFonts w:ascii="CG Times" w:hAnsi="CG Times"/>
          <w:sz w:val="26"/>
          <w:szCs w:val="26"/>
          <w:lang w:val="es-ES"/>
        </w:rPr>
        <w:t>, aplicable desde el 1 de enero de 2021, introduce una deducción de hasta 5.000 € en el IRPF por inversión (adquisición o rehabilitación) en vivienda habitual protegida (puede aplicarse en los 3 períodos siguientes y si son dos o más los beneficiarios se prorratea a partes iguales).</w:t>
      </w:r>
    </w:p>
    <w:p w14:paraId="6B4B3531" w14:textId="77777777" w:rsidR="005D11B6" w:rsidRDefault="005D11B6" w:rsidP="00DA77D5">
      <w:pPr>
        <w:ind w:left="792"/>
        <w:jc w:val="both"/>
        <w:rPr>
          <w:rFonts w:ascii="CG Times" w:hAnsi="CG Times"/>
          <w:sz w:val="26"/>
          <w:szCs w:val="26"/>
          <w:lang w:val="es-ES"/>
        </w:rPr>
      </w:pPr>
      <w:r>
        <w:rPr>
          <w:rFonts w:ascii="CG Times" w:hAnsi="CG Times"/>
          <w:sz w:val="26"/>
          <w:szCs w:val="26"/>
          <w:lang w:val="es-ES"/>
        </w:rPr>
        <w:t xml:space="preserve">- La </w:t>
      </w:r>
      <w:hyperlink r:id="rId47" w:history="1">
        <w:r w:rsidRPr="00B91E3D">
          <w:rPr>
            <w:rStyle w:val="Hipervnculo"/>
            <w:rFonts w:ascii="CG Times" w:hAnsi="CG Times"/>
            <w:sz w:val="26"/>
            <w:szCs w:val="26"/>
            <w:lang w:val="es-ES"/>
          </w:rPr>
          <w:t>Ley 6/2021</w:t>
        </w:r>
      </w:hyperlink>
      <w:r>
        <w:rPr>
          <w:rFonts w:ascii="CG Times" w:hAnsi="CG Times"/>
          <w:sz w:val="26"/>
          <w:szCs w:val="26"/>
          <w:lang w:val="es-ES"/>
        </w:rPr>
        <w:t>, aplicable desde el 1 de enero de 2022, introduce</w:t>
      </w:r>
      <w:r w:rsidR="0096394C">
        <w:rPr>
          <w:rFonts w:ascii="CG Times" w:hAnsi="CG Times"/>
          <w:sz w:val="26"/>
          <w:szCs w:val="26"/>
          <w:lang w:val="es-ES"/>
        </w:rPr>
        <w:t xml:space="preserve"> un </w:t>
      </w:r>
      <w:bookmarkStart w:id="14" w:name="_Hlk155528955"/>
      <w:r w:rsidR="0096394C">
        <w:rPr>
          <w:rFonts w:ascii="CG Times" w:hAnsi="CG Times"/>
          <w:sz w:val="26"/>
          <w:szCs w:val="26"/>
          <w:lang w:val="es-ES"/>
        </w:rPr>
        <w:t>tipo reducido en TPO del 6% para la adquis</w:t>
      </w:r>
      <w:r w:rsidR="00D75F9B">
        <w:rPr>
          <w:rFonts w:ascii="CG Times" w:hAnsi="CG Times"/>
          <w:sz w:val="26"/>
          <w:szCs w:val="26"/>
          <w:lang w:val="es-ES"/>
        </w:rPr>
        <w:t>i</w:t>
      </w:r>
      <w:r w:rsidR="0096394C">
        <w:rPr>
          <w:rFonts w:ascii="CG Times" w:hAnsi="CG Times"/>
          <w:sz w:val="26"/>
          <w:szCs w:val="26"/>
          <w:lang w:val="es-ES"/>
        </w:rPr>
        <w:t>ción de vivienda habitual en zona rural en riesgo de despoblación.</w:t>
      </w:r>
    </w:p>
    <w:bookmarkEnd w:id="14"/>
    <w:p w14:paraId="3F4490E9" w14:textId="77777777" w:rsidR="006C28D2" w:rsidRDefault="006C28D2" w:rsidP="00DA77D5">
      <w:pPr>
        <w:ind w:left="792"/>
        <w:jc w:val="both"/>
        <w:rPr>
          <w:rFonts w:ascii="CG Times" w:hAnsi="CG Times"/>
          <w:sz w:val="26"/>
          <w:szCs w:val="26"/>
          <w:lang w:val="es-ES"/>
        </w:rPr>
      </w:pPr>
      <w:r>
        <w:rPr>
          <w:rFonts w:ascii="CG Times" w:hAnsi="CG Times"/>
          <w:sz w:val="26"/>
          <w:szCs w:val="26"/>
          <w:lang w:val="es-ES"/>
        </w:rPr>
        <w:t xml:space="preserve">- La </w:t>
      </w:r>
      <w:hyperlink r:id="rId48" w:history="1">
        <w:r w:rsidRPr="006C28D2">
          <w:rPr>
            <w:rStyle w:val="Hipervnculo"/>
            <w:rFonts w:ascii="CG Times" w:hAnsi="CG Times"/>
            <w:sz w:val="26"/>
            <w:szCs w:val="26"/>
            <w:lang w:val="es-ES"/>
          </w:rPr>
          <w:t>Ley 10/2022</w:t>
        </w:r>
      </w:hyperlink>
      <w:r>
        <w:rPr>
          <w:rFonts w:ascii="CG Times" w:hAnsi="CG Times"/>
          <w:sz w:val="26"/>
          <w:szCs w:val="26"/>
          <w:lang w:val="es-ES"/>
        </w:rPr>
        <w:t>, aplicable desde el 1 de enero de 2023, no i</w:t>
      </w:r>
      <w:r w:rsidR="00747EF6">
        <w:rPr>
          <w:rFonts w:ascii="CG Times" w:hAnsi="CG Times"/>
          <w:sz w:val="26"/>
          <w:szCs w:val="26"/>
          <w:lang w:val="es-ES"/>
        </w:rPr>
        <w:t>ntroduce cambios de importancia en los impuestos que nos ocupan, pero sí en las deducciones en el IRPF.</w:t>
      </w:r>
    </w:p>
    <w:p w14:paraId="44781B14" w14:textId="77777777" w:rsidR="00B623AD" w:rsidRDefault="00BD6AFC" w:rsidP="00FB2346">
      <w:pPr>
        <w:ind w:left="794"/>
        <w:jc w:val="both"/>
        <w:rPr>
          <w:spacing w:val="6"/>
          <w:sz w:val="26"/>
          <w:szCs w:val="26"/>
        </w:rPr>
      </w:pPr>
      <w:r>
        <w:rPr>
          <w:rFonts w:ascii="CG Times" w:hAnsi="CG Times"/>
          <w:sz w:val="26"/>
          <w:szCs w:val="26"/>
          <w:lang w:val="es-ES"/>
        </w:rPr>
        <w:t xml:space="preserve">- La </w:t>
      </w:r>
      <w:bookmarkStart w:id="15" w:name="_Hlk155524492"/>
      <w:r w:rsidR="003B6C0B">
        <w:rPr>
          <w:rFonts w:ascii="CG Times" w:hAnsi="CG Times"/>
          <w:sz w:val="26"/>
          <w:szCs w:val="26"/>
          <w:lang w:val="es-ES"/>
        </w:rPr>
        <w:fldChar w:fldCharType="begin"/>
      </w:r>
      <w:r w:rsidR="003B6C0B">
        <w:rPr>
          <w:rFonts w:ascii="CG Times" w:hAnsi="CG Times"/>
          <w:sz w:val="26"/>
          <w:szCs w:val="26"/>
          <w:lang w:val="es-ES"/>
        </w:rPr>
        <w:instrText>HYPERLINK "https://www.boe.es/buscar/doc.php?id=BOPA-a-2023-90366"</w:instrText>
      </w:r>
      <w:r w:rsidR="003B6C0B">
        <w:rPr>
          <w:rFonts w:ascii="CG Times" w:hAnsi="CG Times"/>
          <w:sz w:val="26"/>
          <w:szCs w:val="26"/>
          <w:lang w:val="es-ES"/>
        </w:rPr>
      </w:r>
      <w:r w:rsidR="003B6C0B">
        <w:rPr>
          <w:rFonts w:ascii="CG Times" w:hAnsi="CG Times"/>
          <w:sz w:val="26"/>
          <w:szCs w:val="26"/>
          <w:lang w:val="es-ES"/>
        </w:rPr>
        <w:fldChar w:fldCharType="separate"/>
      </w:r>
      <w:r w:rsidRPr="003B6C0B">
        <w:rPr>
          <w:rStyle w:val="Hipervnculo"/>
          <w:rFonts w:ascii="CG Times" w:hAnsi="CG Times"/>
          <w:sz w:val="26"/>
          <w:szCs w:val="26"/>
          <w:lang w:val="es-ES"/>
        </w:rPr>
        <w:t>Ley 4/2023</w:t>
      </w:r>
      <w:r w:rsidR="003B6C0B">
        <w:rPr>
          <w:rFonts w:ascii="CG Times" w:hAnsi="CG Times"/>
          <w:sz w:val="26"/>
          <w:szCs w:val="26"/>
          <w:lang w:val="es-ES"/>
        </w:rPr>
        <w:fldChar w:fldCharType="end"/>
      </w:r>
      <w:bookmarkEnd w:id="15"/>
      <w:r>
        <w:rPr>
          <w:rFonts w:ascii="CG Times" w:hAnsi="CG Times"/>
          <w:sz w:val="26"/>
          <w:szCs w:val="26"/>
          <w:lang w:val="es-ES"/>
        </w:rPr>
        <w:t>, aplicable desde el 1 de enero de 202</w:t>
      </w:r>
      <w:r w:rsidR="00890AFE">
        <w:rPr>
          <w:rFonts w:ascii="CG Times" w:hAnsi="CG Times"/>
          <w:sz w:val="26"/>
          <w:szCs w:val="26"/>
          <w:lang w:val="es-ES"/>
        </w:rPr>
        <w:t>4</w:t>
      </w:r>
      <w:r w:rsidR="003B6C0B">
        <w:rPr>
          <w:rFonts w:ascii="CG Times" w:hAnsi="CG Times"/>
          <w:sz w:val="26"/>
          <w:szCs w:val="26"/>
          <w:lang w:val="es-ES"/>
        </w:rPr>
        <w:t>,</w:t>
      </w:r>
      <w:r>
        <w:rPr>
          <w:rFonts w:ascii="CG Times" w:hAnsi="CG Times"/>
          <w:sz w:val="26"/>
          <w:szCs w:val="26"/>
          <w:lang w:val="es-ES"/>
        </w:rPr>
        <w:t xml:space="preserve"> reduce el tipo de gravamen aplicable a las donaciones entre cónyuges, descendientes y ascendientes (2% hasta 150.000 €)</w:t>
      </w:r>
      <w:r w:rsidR="00890AFE">
        <w:rPr>
          <w:rFonts w:ascii="CG Times" w:hAnsi="CG Times"/>
          <w:sz w:val="26"/>
          <w:szCs w:val="26"/>
          <w:lang w:val="es-ES"/>
        </w:rPr>
        <w:t>; tipo reducido en TPO del 4% (hasta 150.000 €) o del 6% (más de 150.000 €) para la adquisición de vivienda habitual en zona rural en riesgo de despoblación, o por jóvenes de hasta 35 años, familias numerosas o mujeres víctimas de violencia de género</w:t>
      </w:r>
      <w:r w:rsidR="00B623AD">
        <w:rPr>
          <w:rFonts w:ascii="CG Times" w:hAnsi="CG Times"/>
          <w:sz w:val="26"/>
          <w:szCs w:val="26"/>
          <w:lang w:val="es-ES"/>
        </w:rPr>
        <w:t xml:space="preserve">; </w:t>
      </w:r>
      <w:r w:rsidR="00B623AD">
        <w:rPr>
          <w:spacing w:val="6"/>
          <w:sz w:val="26"/>
          <w:szCs w:val="26"/>
        </w:rPr>
        <w:t>deducción del 100% en TPO para el suelo rústico.</w:t>
      </w:r>
    </w:p>
    <w:p w14:paraId="4EB39F56" w14:textId="77777777" w:rsidR="002E0EAB" w:rsidRDefault="002E0EAB" w:rsidP="00FB2346">
      <w:pPr>
        <w:ind w:left="794"/>
        <w:jc w:val="both"/>
        <w:rPr>
          <w:spacing w:val="6"/>
          <w:sz w:val="26"/>
          <w:szCs w:val="26"/>
        </w:rPr>
      </w:pPr>
      <w:r>
        <w:rPr>
          <w:spacing w:val="6"/>
          <w:sz w:val="26"/>
          <w:szCs w:val="26"/>
        </w:rPr>
        <w:t xml:space="preserve">- La </w:t>
      </w:r>
      <w:hyperlink r:id="rId49" w:history="1">
        <w:r w:rsidRPr="00631416">
          <w:rPr>
            <w:rStyle w:val="Hipervnculo"/>
            <w:spacing w:val="6"/>
            <w:sz w:val="26"/>
            <w:szCs w:val="26"/>
          </w:rPr>
          <w:t>Ley 8/2024</w:t>
        </w:r>
      </w:hyperlink>
      <w:r>
        <w:rPr>
          <w:spacing w:val="6"/>
          <w:sz w:val="26"/>
          <w:szCs w:val="26"/>
        </w:rPr>
        <w:t>, aplicable desde el 1 de enero de 2025, incluye dentro del anterior tipo reducido 2 garajes y 1 trastero, y lo extiende a las familias monoparentales.</w:t>
      </w:r>
    </w:p>
    <w:p w14:paraId="5BF4949C" w14:textId="77777777" w:rsidR="00FB2346" w:rsidRDefault="00FB2346" w:rsidP="00FB2346">
      <w:pPr>
        <w:ind w:left="794"/>
        <w:jc w:val="both"/>
        <w:rPr>
          <w:spacing w:val="6"/>
          <w:sz w:val="26"/>
          <w:szCs w:val="26"/>
        </w:rPr>
      </w:pPr>
      <w:r>
        <w:rPr>
          <w:spacing w:val="6"/>
          <w:sz w:val="26"/>
          <w:szCs w:val="26"/>
        </w:rPr>
        <w:t xml:space="preserve">- La </w:t>
      </w:r>
      <w:hyperlink r:id="rId50" w:history="1">
        <w:r w:rsidR="00ED4678" w:rsidRPr="00DB3CC4">
          <w:rPr>
            <w:rStyle w:val="Hipervnculo"/>
            <w:spacing w:val="6"/>
            <w:sz w:val="26"/>
            <w:szCs w:val="26"/>
          </w:rPr>
          <w:t>Ley 3/2025</w:t>
        </w:r>
      </w:hyperlink>
      <w:r>
        <w:rPr>
          <w:spacing w:val="6"/>
          <w:sz w:val="26"/>
          <w:szCs w:val="26"/>
        </w:rPr>
        <w:t xml:space="preserve">, aplicable desde el 3 de diciembre de 2025, incrementa el tipo al 20% en TPO para las </w:t>
      </w:r>
      <w:proofErr w:type="spellStart"/>
      <w:r>
        <w:rPr>
          <w:spacing w:val="6"/>
          <w:sz w:val="26"/>
          <w:szCs w:val="26"/>
        </w:rPr>
        <w:t>adquisciones</w:t>
      </w:r>
      <w:proofErr w:type="spellEnd"/>
      <w:r>
        <w:rPr>
          <w:spacing w:val="6"/>
          <w:sz w:val="26"/>
          <w:szCs w:val="26"/>
        </w:rPr>
        <w:t xml:space="preserve"> de viviendas por grandes tenedores o de edificios destinados a viviendas de uso turístico.</w:t>
      </w:r>
    </w:p>
    <w:p w14:paraId="335F368B" w14:textId="20CE09CA" w:rsidR="00110F82" w:rsidRPr="00B623AD" w:rsidRDefault="00110F82" w:rsidP="00234EE2">
      <w:pPr>
        <w:spacing w:after="60"/>
        <w:ind w:left="794"/>
        <w:jc w:val="both"/>
        <w:rPr>
          <w:rFonts w:ascii="CG Times" w:hAnsi="CG Times"/>
          <w:sz w:val="26"/>
          <w:szCs w:val="26"/>
          <w:lang w:val="es-ES"/>
        </w:rPr>
      </w:pPr>
      <w:r>
        <w:rPr>
          <w:spacing w:val="6"/>
          <w:sz w:val="26"/>
          <w:szCs w:val="26"/>
        </w:rPr>
        <w:t xml:space="preserve">- La </w:t>
      </w:r>
      <w:hyperlink r:id="rId51" w:anchor="deu" w:history="1">
        <w:r w:rsidRPr="00234EE2">
          <w:rPr>
            <w:rStyle w:val="Hipervnculo"/>
            <w:spacing w:val="6"/>
            <w:sz w:val="26"/>
            <w:szCs w:val="26"/>
          </w:rPr>
          <w:t>Ley 5/2025</w:t>
        </w:r>
      </w:hyperlink>
      <w:r>
        <w:rPr>
          <w:spacing w:val="6"/>
          <w:sz w:val="26"/>
          <w:szCs w:val="26"/>
        </w:rPr>
        <w:t>, aplicable desde el 1 de enero de 2026, deroga el tipo reducido del 3%</w:t>
      </w:r>
      <w:r w:rsidR="00234EE2">
        <w:rPr>
          <w:spacing w:val="6"/>
          <w:sz w:val="26"/>
          <w:szCs w:val="26"/>
        </w:rPr>
        <w:t xml:space="preserve"> en TPO</w:t>
      </w:r>
      <w:r>
        <w:rPr>
          <w:spacing w:val="6"/>
          <w:sz w:val="26"/>
          <w:szCs w:val="26"/>
        </w:rPr>
        <w:t xml:space="preserve"> del art. 31 para </w:t>
      </w:r>
      <w:r w:rsidR="00234EE2">
        <w:rPr>
          <w:spacing w:val="6"/>
          <w:sz w:val="26"/>
          <w:szCs w:val="26"/>
        </w:rPr>
        <w:t>transmisiones destinadas a arrendamiento para vivienda habitual, pero nada dice del art. 38 que establece un tipo reducido del 0,3% en AJD para tales supuestos.</w:t>
      </w:r>
    </w:p>
    <w:p w14:paraId="50F613DD" w14:textId="77777777" w:rsidR="00EE1145" w:rsidRDefault="00EE1145" w:rsidP="00C854F8">
      <w:pPr>
        <w:numPr>
          <w:ilvl w:val="1"/>
          <w:numId w:val="15"/>
        </w:numPr>
        <w:spacing w:line="280" w:lineRule="atLeast"/>
        <w:jc w:val="both"/>
        <w:rPr>
          <w:b/>
          <w:spacing w:val="6"/>
          <w:sz w:val="22"/>
          <w:szCs w:val="22"/>
        </w:rPr>
      </w:pPr>
      <w:bookmarkStart w:id="16" w:name="A2renuevo"/>
      <w:bookmarkEnd w:id="16"/>
      <w:r>
        <w:rPr>
          <w:b/>
          <w:spacing w:val="6"/>
          <w:sz w:val="26"/>
          <w:szCs w:val="26"/>
        </w:rPr>
        <w:t>Servicios Tributarios del Principado de Asturias</w:t>
      </w:r>
    </w:p>
    <w:p w14:paraId="0B64F468" w14:textId="77777777" w:rsidR="00EE1145" w:rsidRDefault="00EE1145">
      <w:pPr>
        <w:spacing w:line="280" w:lineRule="atLeast"/>
        <w:ind w:left="792"/>
        <w:jc w:val="both"/>
        <w:rPr>
          <w:spacing w:val="6"/>
          <w:sz w:val="26"/>
          <w:szCs w:val="26"/>
          <w:lang w:val="es-ES"/>
        </w:rPr>
      </w:pPr>
      <w:r>
        <w:rPr>
          <w:spacing w:val="6"/>
          <w:sz w:val="26"/>
          <w:szCs w:val="26"/>
        </w:rPr>
        <w:t xml:space="preserve">Al amparo de la </w:t>
      </w:r>
      <w:hyperlink r:id="rId52" w:history="1">
        <w:r>
          <w:rPr>
            <w:rStyle w:val="Hipervnculo"/>
            <w:spacing w:val="6"/>
            <w:sz w:val="26"/>
            <w:szCs w:val="26"/>
          </w:rPr>
          <w:t>Ley 15/2002 (modificada por la Ley 3/2012)</w:t>
        </w:r>
      </w:hyperlink>
      <w:r>
        <w:rPr>
          <w:spacing w:val="6"/>
          <w:sz w:val="26"/>
          <w:szCs w:val="26"/>
        </w:rPr>
        <w:t xml:space="preserve">, desarrollada por el </w:t>
      </w:r>
      <w:hyperlink r:id="rId53" w:history="1">
        <w:r>
          <w:rPr>
            <w:rStyle w:val="Hipervnculo"/>
            <w:spacing w:val="6"/>
            <w:sz w:val="26"/>
            <w:szCs w:val="26"/>
          </w:rPr>
          <w:t>Decreto 38/2005 (modificado por el Decreto 35/2006)</w:t>
        </w:r>
      </w:hyperlink>
      <w:r>
        <w:rPr>
          <w:spacing w:val="6"/>
          <w:sz w:val="26"/>
          <w:szCs w:val="26"/>
        </w:rPr>
        <w:t xml:space="preserve"> se crea y regula </w:t>
      </w:r>
      <w:r>
        <w:rPr>
          <w:spacing w:val="6"/>
          <w:sz w:val="26"/>
          <w:szCs w:val="26"/>
          <w:lang w:val="es-ES"/>
        </w:rPr>
        <w:t>el Ente Público de Servicios Tributarios del Principado de Asturias.</w:t>
      </w:r>
    </w:p>
    <w:p w14:paraId="3B00FB92" w14:textId="77777777" w:rsidR="00EE1145" w:rsidRDefault="00EE1145">
      <w:pPr>
        <w:spacing w:line="280" w:lineRule="atLeast"/>
        <w:ind w:left="792"/>
        <w:jc w:val="both"/>
        <w:rPr>
          <w:bCs/>
          <w:spacing w:val="6"/>
          <w:sz w:val="26"/>
          <w:szCs w:val="26"/>
          <w:lang w:val="es-ES"/>
        </w:rPr>
      </w:pPr>
      <w:r>
        <w:rPr>
          <w:spacing w:val="6"/>
          <w:sz w:val="26"/>
          <w:szCs w:val="26"/>
        </w:rPr>
        <w:t>Dispone de web (</w:t>
      </w:r>
      <w:hyperlink r:id="rId54" w:history="1">
        <w:r>
          <w:rPr>
            <w:rStyle w:val="Hipervnculo"/>
            <w:spacing w:val="6"/>
            <w:sz w:val="26"/>
            <w:szCs w:val="26"/>
          </w:rPr>
          <w:t>www.tributasenasturias.es</w:t>
        </w:r>
      </w:hyperlink>
      <w:r>
        <w:rPr>
          <w:spacing w:val="6"/>
          <w:sz w:val="26"/>
          <w:szCs w:val="26"/>
        </w:rPr>
        <w:t xml:space="preserve">) que, entre otras cosas, incluye la </w:t>
      </w:r>
      <w:hyperlink r:id="rId55" w:history="1">
        <w:r>
          <w:rPr>
            <w:rStyle w:val="Hipervnculo"/>
            <w:spacing w:val="6"/>
            <w:sz w:val="26"/>
            <w:szCs w:val="26"/>
          </w:rPr>
          <w:t>localización de las oficinas</w:t>
        </w:r>
      </w:hyperlink>
      <w:r>
        <w:rPr>
          <w:bCs/>
          <w:spacing w:val="6"/>
          <w:sz w:val="26"/>
          <w:szCs w:val="26"/>
          <w:lang w:val="es-ES"/>
        </w:rPr>
        <w:t xml:space="preserve">, </w:t>
      </w:r>
      <w:hyperlink r:id="rId56" w:history="1">
        <w:r>
          <w:rPr>
            <w:rStyle w:val="Hipervnculo"/>
            <w:bCs/>
            <w:spacing w:val="6"/>
            <w:sz w:val="26"/>
            <w:szCs w:val="26"/>
            <w:lang w:val="es-ES"/>
          </w:rPr>
          <w:t>información sobre los tributos</w:t>
        </w:r>
      </w:hyperlink>
      <w:r>
        <w:rPr>
          <w:bCs/>
          <w:spacing w:val="6"/>
          <w:sz w:val="26"/>
          <w:szCs w:val="26"/>
          <w:lang w:val="es-ES"/>
        </w:rPr>
        <w:t xml:space="preserve">, </w:t>
      </w:r>
      <w:hyperlink r:id="rId57" w:history="1">
        <w:r>
          <w:rPr>
            <w:rStyle w:val="Hipervnculo"/>
            <w:bCs/>
            <w:spacing w:val="6"/>
            <w:sz w:val="26"/>
            <w:szCs w:val="26"/>
            <w:lang w:val="es-ES"/>
          </w:rPr>
          <w:t>normativa</w:t>
        </w:r>
      </w:hyperlink>
      <w:r>
        <w:rPr>
          <w:bCs/>
          <w:spacing w:val="6"/>
          <w:sz w:val="26"/>
          <w:szCs w:val="26"/>
          <w:lang w:val="es-ES"/>
        </w:rPr>
        <w:t xml:space="preserve">, </w:t>
      </w:r>
      <w:hyperlink r:id="rId58" w:history="1">
        <w:r w:rsidR="00AE67D7">
          <w:rPr>
            <w:rStyle w:val="Hipervnculo"/>
            <w:bCs/>
            <w:spacing w:val="6"/>
            <w:sz w:val="26"/>
            <w:szCs w:val="26"/>
            <w:lang w:val="es-ES"/>
          </w:rPr>
          <w:t>sede electrónica</w:t>
        </w:r>
      </w:hyperlink>
      <w:r>
        <w:rPr>
          <w:bCs/>
          <w:spacing w:val="6"/>
          <w:sz w:val="26"/>
          <w:szCs w:val="26"/>
          <w:lang w:val="es-ES"/>
        </w:rPr>
        <w:t xml:space="preserve"> y </w:t>
      </w:r>
      <w:hyperlink r:id="rId59" w:history="1">
        <w:r>
          <w:rPr>
            <w:rStyle w:val="Hipervnculo"/>
            <w:bCs/>
            <w:spacing w:val="6"/>
            <w:sz w:val="26"/>
            <w:szCs w:val="26"/>
            <w:lang w:val="es-ES"/>
          </w:rPr>
          <w:t>cálculo de valoraciones</w:t>
        </w:r>
      </w:hyperlink>
      <w:r>
        <w:rPr>
          <w:bCs/>
          <w:spacing w:val="6"/>
          <w:sz w:val="26"/>
          <w:szCs w:val="26"/>
          <w:lang w:val="es-ES"/>
        </w:rPr>
        <w:t>.</w:t>
      </w:r>
    </w:p>
    <w:p w14:paraId="2FBFD5F3" w14:textId="77777777" w:rsidR="00EE1145" w:rsidRDefault="00EE1145">
      <w:pPr>
        <w:spacing w:line="280" w:lineRule="atLeast"/>
        <w:ind w:left="792"/>
        <w:jc w:val="both"/>
        <w:rPr>
          <w:spacing w:val="6"/>
          <w:sz w:val="26"/>
          <w:szCs w:val="26"/>
        </w:rPr>
      </w:pPr>
      <w:r>
        <w:rPr>
          <w:spacing w:val="6"/>
          <w:sz w:val="26"/>
          <w:szCs w:val="26"/>
        </w:rPr>
        <w:t>Es también el órgano gestor del Impuesto sobre Incremento de Valor de los Terrenos de Naturaleza Urbana de aquellos Ayuntamientos que se lo hayan delegado.</w:t>
      </w:r>
    </w:p>
    <w:p w14:paraId="6D7F90CF" w14:textId="77777777" w:rsidR="00EE1145" w:rsidRDefault="00EE1145" w:rsidP="000C321C">
      <w:pPr>
        <w:spacing w:after="60" w:line="280" w:lineRule="atLeast"/>
        <w:ind w:left="794"/>
        <w:jc w:val="both"/>
        <w:rPr>
          <w:spacing w:val="6"/>
          <w:sz w:val="26"/>
          <w:szCs w:val="26"/>
        </w:rPr>
      </w:pPr>
      <w:r>
        <w:rPr>
          <w:spacing w:val="6"/>
          <w:sz w:val="26"/>
          <w:szCs w:val="26"/>
        </w:rPr>
        <w:t>Se han suprimido las Oficinas Liquidadoras a cargo de Registradores de la Propiedad.</w:t>
      </w:r>
    </w:p>
    <w:p w14:paraId="51E3449E" w14:textId="77777777" w:rsidR="00EE1145" w:rsidRDefault="00EE1145" w:rsidP="00C854F8">
      <w:pPr>
        <w:numPr>
          <w:ilvl w:val="1"/>
          <w:numId w:val="15"/>
        </w:numPr>
        <w:spacing w:line="280" w:lineRule="atLeast"/>
        <w:jc w:val="both"/>
        <w:rPr>
          <w:b/>
          <w:spacing w:val="6"/>
          <w:sz w:val="22"/>
          <w:szCs w:val="22"/>
        </w:rPr>
      </w:pPr>
      <w:bookmarkStart w:id="17" w:name="A2nuevo"/>
      <w:bookmarkStart w:id="18" w:name="A2"/>
      <w:bookmarkStart w:id="19" w:name="Telemáticas"/>
      <w:bookmarkEnd w:id="17"/>
      <w:bookmarkEnd w:id="18"/>
      <w:bookmarkEnd w:id="19"/>
      <w:r>
        <w:rPr>
          <w:b/>
          <w:spacing w:val="6"/>
          <w:sz w:val="26"/>
          <w:szCs w:val="26"/>
        </w:rPr>
        <w:t>Aplicaciones telemáticas fiscales en Asturias</w:t>
      </w:r>
    </w:p>
    <w:p w14:paraId="16CC3F23" w14:textId="77777777" w:rsidR="00EE1145" w:rsidRDefault="00EE1145" w:rsidP="00C854F8">
      <w:pPr>
        <w:numPr>
          <w:ilvl w:val="2"/>
          <w:numId w:val="15"/>
        </w:numPr>
        <w:spacing w:line="280" w:lineRule="atLeast"/>
        <w:jc w:val="both"/>
        <w:rPr>
          <w:b/>
          <w:spacing w:val="6"/>
          <w:sz w:val="22"/>
          <w:szCs w:val="22"/>
        </w:rPr>
      </w:pPr>
      <w:bookmarkStart w:id="20" w:name="valoración"/>
      <w:bookmarkEnd w:id="20"/>
      <w:r>
        <w:rPr>
          <w:b/>
          <w:spacing w:val="6"/>
          <w:sz w:val="26"/>
          <w:szCs w:val="26"/>
        </w:rPr>
        <w:t>Valoración</w:t>
      </w:r>
      <w:r w:rsidR="001B2894">
        <w:rPr>
          <w:b/>
          <w:spacing w:val="6"/>
          <w:sz w:val="26"/>
          <w:szCs w:val="26"/>
        </w:rPr>
        <w:t xml:space="preserve"> hasta 31 de diciembre de 2021</w:t>
      </w:r>
      <w:r w:rsidR="00E55588">
        <w:rPr>
          <w:b/>
          <w:spacing w:val="6"/>
          <w:sz w:val="26"/>
          <w:szCs w:val="26"/>
        </w:rPr>
        <w:t>: valor real</w:t>
      </w:r>
    </w:p>
    <w:p w14:paraId="349EDE1C" w14:textId="77777777" w:rsidR="00EE1145" w:rsidRDefault="00B560E6">
      <w:pPr>
        <w:spacing w:line="280" w:lineRule="atLeast"/>
        <w:ind w:left="1440"/>
        <w:jc w:val="both"/>
        <w:rPr>
          <w:spacing w:val="6"/>
          <w:sz w:val="26"/>
          <w:szCs w:val="26"/>
          <w:lang w:val="es-ES"/>
        </w:rPr>
      </w:pPr>
      <w:bookmarkStart w:id="21" w:name="A4a"/>
      <w:bookmarkStart w:id="22" w:name="A3a"/>
      <w:bookmarkEnd w:id="21"/>
      <w:bookmarkEnd w:id="22"/>
      <w:r w:rsidRPr="00B560E6">
        <w:rPr>
          <w:spacing w:val="6"/>
          <w:sz w:val="26"/>
          <w:szCs w:val="26"/>
        </w:rPr>
        <w:lastRenderedPageBreak/>
        <w:t xml:space="preserve">Hecha la advertencia inicial sobre la </w:t>
      </w:r>
      <w:r w:rsidR="00F3104C">
        <w:rPr>
          <w:rFonts w:ascii="Times New Roman" w:eastAsia="SimSun" w:hAnsi="Times New Roman"/>
          <w:sz w:val="24"/>
          <w:szCs w:val="24"/>
          <w:lang w:eastAsia="zh-CN"/>
        </w:rPr>
        <w:t>«</w:t>
      </w:r>
      <w:r w:rsidRPr="00B560E6">
        <w:rPr>
          <w:spacing w:val="6"/>
          <w:sz w:val="26"/>
          <w:szCs w:val="26"/>
        </w:rPr>
        <w:t>inidoneidad</w:t>
      </w:r>
      <w:r w:rsidR="00F3104C" w:rsidRPr="00185E28">
        <w:rPr>
          <w:rFonts w:ascii="Times New Roman" w:eastAsia="SimSun" w:hAnsi="Times New Roman"/>
          <w:sz w:val="24"/>
          <w:szCs w:val="24"/>
          <w:lang w:eastAsia="zh-CN"/>
        </w:rPr>
        <w:t>»</w:t>
      </w:r>
      <w:r w:rsidRPr="00B560E6">
        <w:rPr>
          <w:spacing w:val="6"/>
          <w:sz w:val="26"/>
          <w:szCs w:val="26"/>
        </w:rPr>
        <w:t xml:space="preserve"> del método de multiplicación del valor cata</w:t>
      </w:r>
      <w:r>
        <w:rPr>
          <w:spacing w:val="6"/>
          <w:sz w:val="26"/>
          <w:szCs w:val="26"/>
        </w:rPr>
        <w:t xml:space="preserve">stral por un coeficiente </w:t>
      </w:r>
      <w:r w:rsidR="0076233A">
        <w:rPr>
          <w:spacing w:val="6"/>
          <w:sz w:val="26"/>
          <w:szCs w:val="26"/>
        </w:rPr>
        <w:t>(</w:t>
      </w:r>
      <w:hyperlink r:id="rId60" w:history="1">
        <w:r w:rsidRPr="00B560E6">
          <w:rPr>
            <w:rStyle w:val="Hipervnculo"/>
            <w:spacing w:val="6"/>
            <w:sz w:val="26"/>
            <w:szCs w:val="26"/>
          </w:rPr>
          <w:t>Sentencia del Tribunal Supremo de 23 de mayo de 2018</w:t>
        </w:r>
      </w:hyperlink>
      <w:r w:rsidR="0076233A">
        <w:rPr>
          <w:spacing w:val="6"/>
          <w:sz w:val="26"/>
          <w:szCs w:val="26"/>
        </w:rPr>
        <w:t xml:space="preserve">), pero </w:t>
      </w:r>
      <w:r w:rsidR="00F3104C">
        <w:rPr>
          <w:rFonts w:ascii="Times New Roman" w:eastAsia="SimSun" w:hAnsi="Times New Roman"/>
          <w:sz w:val="24"/>
          <w:szCs w:val="24"/>
          <w:lang w:eastAsia="zh-CN"/>
        </w:rPr>
        <w:t>«</w:t>
      </w:r>
      <w:r w:rsidR="0076233A">
        <w:rPr>
          <w:spacing w:val="6"/>
          <w:sz w:val="26"/>
          <w:szCs w:val="26"/>
        </w:rPr>
        <w:t>vinculante</w:t>
      </w:r>
      <w:r w:rsidR="00F3104C" w:rsidRPr="00185E28">
        <w:rPr>
          <w:rFonts w:ascii="Times New Roman" w:eastAsia="SimSun" w:hAnsi="Times New Roman"/>
          <w:sz w:val="24"/>
          <w:szCs w:val="24"/>
          <w:lang w:eastAsia="zh-CN"/>
        </w:rPr>
        <w:t>»</w:t>
      </w:r>
      <w:r w:rsidR="0076233A">
        <w:rPr>
          <w:spacing w:val="6"/>
          <w:sz w:val="26"/>
          <w:szCs w:val="26"/>
        </w:rPr>
        <w:t xml:space="preserve"> para la Administración (</w:t>
      </w:r>
      <w:hyperlink r:id="rId61" w:history="1">
        <w:r w:rsidR="005A0075" w:rsidRPr="005A0075">
          <w:rPr>
            <w:rStyle w:val="Hipervnculo"/>
            <w:spacing w:val="6"/>
            <w:sz w:val="26"/>
            <w:szCs w:val="26"/>
            <w:lang w:val="es-ES"/>
          </w:rPr>
          <w:t>Sentencia del Tribunal Supremo de 23 de abril de 2019</w:t>
        </w:r>
      </w:hyperlink>
      <w:r w:rsidR="005A0075">
        <w:rPr>
          <w:spacing w:val="6"/>
          <w:sz w:val="26"/>
          <w:szCs w:val="26"/>
        </w:rPr>
        <w:t>)</w:t>
      </w:r>
      <w:r w:rsidR="003B4A31">
        <w:rPr>
          <w:spacing w:val="6"/>
          <w:sz w:val="26"/>
          <w:szCs w:val="26"/>
        </w:rPr>
        <w:t>, e</w:t>
      </w:r>
      <w:r w:rsidR="00EE1145">
        <w:rPr>
          <w:spacing w:val="6"/>
          <w:sz w:val="26"/>
          <w:szCs w:val="26"/>
        </w:rPr>
        <w:t xml:space="preserve">l </w:t>
      </w:r>
      <w:hyperlink r:id="rId62" w:history="1">
        <w:r w:rsidR="00EE1145" w:rsidRPr="00777906">
          <w:rPr>
            <w:rStyle w:val="Hipervnculo"/>
            <w:spacing w:val="6"/>
            <w:sz w:val="26"/>
            <w:szCs w:val="26"/>
          </w:rPr>
          <w:t>Decreto</w:t>
        </w:r>
        <w:r w:rsidR="0052250C">
          <w:rPr>
            <w:rStyle w:val="Hipervnculo"/>
            <w:spacing w:val="6"/>
            <w:sz w:val="26"/>
            <w:szCs w:val="26"/>
          </w:rPr>
          <w:t xml:space="preserve"> asturiano</w:t>
        </w:r>
        <w:r w:rsidR="00EE1145" w:rsidRPr="00777906">
          <w:rPr>
            <w:rStyle w:val="Hipervnculo"/>
            <w:spacing w:val="6"/>
            <w:sz w:val="26"/>
            <w:szCs w:val="26"/>
          </w:rPr>
          <w:t xml:space="preserve"> 121/2013</w:t>
        </w:r>
      </w:hyperlink>
      <w:r w:rsidR="007261BC">
        <w:rPr>
          <w:spacing w:val="6"/>
          <w:sz w:val="26"/>
          <w:szCs w:val="26"/>
        </w:rPr>
        <w:t xml:space="preserve"> aprobó</w:t>
      </w:r>
      <w:r w:rsidR="00EE1145">
        <w:rPr>
          <w:spacing w:val="6"/>
          <w:sz w:val="26"/>
          <w:szCs w:val="26"/>
          <w:lang w:val="es-ES"/>
        </w:rPr>
        <w:t xml:space="preserve"> los coeficientes aplicables al valor catastral</w:t>
      </w:r>
      <w:r w:rsidR="00EE1145">
        <w:rPr>
          <w:spacing w:val="6"/>
          <w:sz w:val="26"/>
          <w:szCs w:val="26"/>
        </w:rPr>
        <w:t xml:space="preserve"> </w:t>
      </w:r>
      <w:r w:rsidR="00EE1145">
        <w:rPr>
          <w:spacing w:val="6"/>
          <w:sz w:val="26"/>
          <w:szCs w:val="26"/>
          <w:lang w:val="es-ES"/>
        </w:rPr>
        <w:t>para estimar el valor de determinados bienes inmuebles</w:t>
      </w:r>
      <w:r w:rsidR="00EE1145">
        <w:rPr>
          <w:spacing w:val="6"/>
          <w:sz w:val="26"/>
          <w:szCs w:val="26"/>
        </w:rPr>
        <w:t xml:space="preserve"> </w:t>
      </w:r>
      <w:r w:rsidR="00EE1145">
        <w:rPr>
          <w:spacing w:val="6"/>
          <w:sz w:val="26"/>
          <w:szCs w:val="26"/>
          <w:lang w:val="es-ES"/>
        </w:rPr>
        <w:t>urbanos a efectos del Impuesto sobre Transmisiones Patrimoniales Onerosas y Actos Jurídicos Documentados y del Impuesto sobre Sucesiones y Donaciones devengados en el 2014.</w:t>
      </w:r>
    </w:p>
    <w:p w14:paraId="4DBB9B15" w14:textId="77777777" w:rsidR="00EE1145" w:rsidRDefault="00EE1145">
      <w:pPr>
        <w:spacing w:line="280" w:lineRule="atLeast"/>
        <w:ind w:left="1440"/>
        <w:jc w:val="both"/>
        <w:rPr>
          <w:spacing w:val="6"/>
          <w:sz w:val="26"/>
          <w:szCs w:val="26"/>
          <w:lang w:val="es-ES"/>
        </w:rPr>
      </w:pPr>
      <w:r>
        <w:rPr>
          <w:spacing w:val="6"/>
          <w:sz w:val="26"/>
          <w:szCs w:val="26"/>
          <w:lang w:val="es-ES"/>
        </w:rPr>
        <w:t>Distingue en cada Concejo según se trate de viviendas y sus anejos, garajes y trasteros independientes, locales comerciales, almacenes, naves industriales (excepto industrias fabriles y servicios de transportes) y oficinas.</w:t>
      </w:r>
    </w:p>
    <w:p w14:paraId="31395656" w14:textId="77777777" w:rsidR="00EE1145" w:rsidRDefault="00EE1145">
      <w:pPr>
        <w:spacing w:line="280" w:lineRule="atLeast"/>
        <w:ind w:left="1440"/>
        <w:jc w:val="both"/>
        <w:rPr>
          <w:spacing w:val="6"/>
          <w:sz w:val="26"/>
          <w:szCs w:val="26"/>
          <w:lang w:val="es-ES"/>
        </w:rPr>
      </w:pPr>
      <w:r>
        <w:rPr>
          <w:spacing w:val="6"/>
          <w:sz w:val="26"/>
          <w:szCs w:val="26"/>
          <w:lang w:val="es-ES"/>
        </w:rPr>
        <w:t>Prevé la actualización anual de tales coeficientes por la Consejería competente en materia tributaria:</w:t>
      </w:r>
    </w:p>
    <w:p w14:paraId="7FB1F5AF" w14:textId="77777777" w:rsidR="00EE1145" w:rsidRDefault="00EE1145" w:rsidP="00C854F8">
      <w:pPr>
        <w:numPr>
          <w:ilvl w:val="0"/>
          <w:numId w:val="17"/>
        </w:numPr>
        <w:spacing w:line="280" w:lineRule="atLeast"/>
        <w:jc w:val="both"/>
        <w:rPr>
          <w:spacing w:val="6"/>
          <w:sz w:val="26"/>
          <w:szCs w:val="26"/>
          <w:lang w:val="es-ES"/>
        </w:rPr>
      </w:pPr>
      <w:r>
        <w:rPr>
          <w:spacing w:val="6"/>
          <w:sz w:val="26"/>
          <w:szCs w:val="26"/>
          <w:lang w:val="es-ES"/>
        </w:rPr>
        <w:t xml:space="preserve">Para 2015: </w:t>
      </w:r>
      <w:hyperlink r:id="rId63" w:history="1">
        <w:r>
          <w:rPr>
            <w:rStyle w:val="Hipervnculo"/>
            <w:spacing w:val="6"/>
            <w:sz w:val="26"/>
            <w:szCs w:val="26"/>
            <w:lang w:val="es-ES"/>
          </w:rPr>
          <w:t>Resolución de la Consejería de Hacienda y Sector Público de 26 de diciembre de 2014</w:t>
        </w:r>
      </w:hyperlink>
      <w:r>
        <w:rPr>
          <w:spacing w:val="6"/>
          <w:sz w:val="26"/>
          <w:szCs w:val="26"/>
          <w:lang w:val="es-ES"/>
        </w:rPr>
        <w:t>.</w:t>
      </w:r>
    </w:p>
    <w:p w14:paraId="692B2F9C" w14:textId="77777777" w:rsidR="00EE1145" w:rsidRDefault="00EE1145" w:rsidP="00C854F8">
      <w:pPr>
        <w:numPr>
          <w:ilvl w:val="0"/>
          <w:numId w:val="17"/>
        </w:numPr>
        <w:spacing w:line="280" w:lineRule="atLeast"/>
        <w:jc w:val="both"/>
        <w:rPr>
          <w:spacing w:val="6"/>
          <w:sz w:val="26"/>
          <w:szCs w:val="26"/>
          <w:lang w:val="es-ES"/>
        </w:rPr>
      </w:pPr>
      <w:r>
        <w:rPr>
          <w:spacing w:val="6"/>
          <w:sz w:val="26"/>
          <w:szCs w:val="26"/>
          <w:lang w:val="es-ES"/>
        </w:rPr>
        <w:t xml:space="preserve">Para 2016: </w:t>
      </w:r>
      <w:hyperlink r:id="rId64" w:history="1">
        <w:r>
          <w:rPr>
            <w:rStyle w:val="Hipervnculo"/>
            <w:spacing w:val="6"/>
            <w:sz w:val="26"/>
            <w:szCs w:val="26"/>
            <w:lang w:val="es-ES"/>
          </w:rPr>
          <w:t>Resolución de la Consejería de Hacienda y Sector Público de 10 de diciembre de 2015</w:t>
        </w:r>
      </w:hyperlink>
      <w:r>
        <w:rPr>
          <w:spacing w:val="6"/>
          <w:sz w:val="26"/>
          <w:szCs w:val="26"/>
          <w:lang w:val="es-ES"/>
        </w:rPr>
        <w:t>.</w:t>
      </w:r>
    </w:p>
    <w:p w14:paraId="38CE6963" w14:textId="77777777" w:rsidR="00EE1145" w:rsidRDefault="00EE1145" w:rsidP="00C854F8">
      <w:pPr>
        <w:numPr>
          <w:ilvl w:val="0"/>
          <w:numId w:val="17"/>
        </w:numPr>
        <w:spacing w:line="280" w:lineRule="atLeast"/>
        <w:jc w:val="both"/>
        <w:rPr>
          <w:spacing w:val="6"/>
          <w:sz w:val="26"/>
          <w:szCs w:val="26"/>
          <w:lang w:val="es-ES"/>
        </w:rPr>
      </w:pPr>
      <w:r>
        <w:rPr>
          <w:spacing w:val="6"/>
          <w:sz w:val="26"/>
          <w:szCs w:val="26"/>
          <w:lang w:val="es-ES"/>
        </w:rPr>
        <w:t xml:space="preserve">Para 2017: </w:t>
      </w:r>
      <w:hyperlink r:id="rId65" w:history="1">
        <w:r>
          <w:rPr>
            <w:rStyle w:val="Hipervnculo"/>
            <w:spacing w:val="6"/>
            <w:sz w:val="26"/>
            <w:szCs w:val="26"/>
            <w:lang w:val="es-ES"/>
          </w:rPr>
          <w:t>Resolución de la Consejería de Hacienda y Sector Público de 19 de diciembre de 2016</w:t>
        </w:r>
      </w:hyperlink>
      <w:r>
        <w:rPr>
          <w:spacing w:val="6"/>
          <w:sz w:val="26"/>
          <w:szCs w:val="26"/>
          <w:lang w:val="es-ES"/>
        </w:rPr>
        <w:t>.</w:t>
      </w:r>
    </w:p>
    <w:p w14:paraId="61ADBC27" w14:textId="77777777" w:rsidR="001D78C4" w:rsidRDefault="001D78C4" w:rsidP="00C854F8">
      <w:pPr>
        <w:numPr>
          <w:ilvl w:val="0"/>
          <w:numId w:val="17"/>
        </w:numPr>
        <w:spacing w:line="280" w:lineRule="atLeast"/>
        <w:jc w:val="both"/>
        <w:rPr>
          <w:spacing w:val="6"/>
          <w:sz w:val="26"/>
          <w:szCs w:val="26"/>
          <w:lang w:val="es-ES"/>
        </w:rPr>
      </w:pPr>
      <w:r>
        <w:rPr>
          <w:spacing w:val="6"/>
          <w:sz w:val="26"/>
          <w:szCs w:val="26"/>
          <w:lang w:val="es-ES"/>
        </w:rPr>
        <w:t xml:space="preserve">Para 2018: </w:t>
      </w:r>
      <w:hyperlink r:id="rId66" w:history="1">
        <w:r w:rsidRPr="001D78C4">
          <w:rPr>
            <w:rStyle w:val="Hipervnculo"/>
            <w:spacing w:val="6"/>
            <w:sz w:val="26"/>
            <w:szCs w:val="26"/>
            <w:lang w:val="es-ES"/>
          </w:rPr>
          <w:t>Resolución de la Consejería de Hacienda y Sector Público de 21 diciembre de 2017</w:t>
        </w:r>
      </w:hyperlink>
      <w:r>
        <w:rPr>
          <w:spacing w:val="6"/>
          <w:sz w:val="26"/>
          <w:szCs w:val="26"/>
          <w:lang w:val="es-ES"/>
        </w:rPr>
        <w:t>.</w:t>
      </w:r>
    </w:p>
    <w:p w14:paraId="6117FF0E" w14:textId="77777777" w:rsidR="00EE1145" w:rsidRDefault="00EE1145">
      <w:pPr>
        <w:spacing w:line="280" w:lineRule="atLeast"/>
        <w:ind w:left="1440"/>
        <w:jc w:val="both"/>
        <w:rPr>
          <w:spacing w:val="6"/>
          <w:sz w:val="26"/>
          <w:szCs w:val="26"/>
          <w:lang w:val="es-ES"/>
        </w:rPr>
      </w:pPr>
      <w:r>
        <w:rPr>
          <w:spacing w:val="6"/>
          <w:sz w:val="26"/>
          <w:szCs w:val="26"/>
          <w:lang w:val="es-ES"/>
        </w:rPr>
        <w:t xml:space="preserve">A diferencia de otras Comunidades Autónomas, el </w:t>
      </w:r>
      <w:hyperlink r:id="rId67" w:history="1">
        <w:r>
          <w:rPr>
            <w:rStyle w:val="Hipervnculo"/>
            <w:bCs/>
            <w:spacing w:val="6"/>
            <w:sz w:val="26"/>
            <w:szCs w:val="26"/>
            <w:lang w:val="es-ES"/>
          </w:rPr>
          <w:t>cálculo de valoraciones</w:t>
        </w:r>
      </w:hyperlink>
      <w:r>
        <w:rPr>
          <w:spacing w:val="6"/>
          <w:sz w:val="26"/>
          <w:szCs w:val="26"/>
          <w:lang w:val="es-ES"/>
        </w:rPr>
        <w:t xml:space="preserve"> de la</w:t>
      </w:r>
      <w:r w:rsidR="00354EC3">
        <w:rPr>
          <w:spacing w:val="6"/>
          <w:sz w:val="26"/>
          <w:szCs w:val="26"/>
          <w:lang w:val="es-ES"/>
        </w:rPr>
        <w:t xml:space="preserve"> sede electrónica</w:t>
      </w:r>
      <w:r>
        <w:rPr>
          <w:spacing w:val="6"/>
          <w:sz w:val="26"/>
          <w:szCs w:val="26"/>
          <w:lang w:val="es-ES"/>
        </w:rPr>
        <w:t xml:space="preserve"> </w:t>
      </w:r>
      <w:r>
        <w:rPr>
          <w:bCs/>
          <w:spacing w:val="6"/>
          <w:sz w:val="26"/>
          <w:szCs w:val="26"/>
          <w:lang w:val="es-ES"/>
        </w:rPr>
        <w:t>no ofrece, a partir de la referencia catastral, una cantidad resultante que pueda imprimirse; sino para cada año el coeficiente aplicable para inmuebles urbanos según la tipología anterior y el precio/m2 para los rústicos</w:t>
      </w:r>
      <w:r>
        <w:rPr>
          <w:spacing w:val="6"/>
          <w:sz w:val="26"/>
          <w:szCs w:val="26"/>
          <w:lang w:val="es-ES"/>
        </w:rPr>
        <w:t xml:space="preserve"> (distinguiendo entre prado, monte alto y monte bajo).</w:t>
      </w:r>
    </w:p>
    <w:p w14:paraId="70A0A296" w14:textId="77777777" w:rsidR="00354EC3" w:rsidRPr="00354EC3" w:rsidRDefault="00354EC3" w:rsidP="00354EC3">
      <w:pPr>
        <w:spacing w:line="280" w:lineRule="atLeast"/>
        <w:ind w:left="1440"/>
        <w:jc w:val="both"/>
        <w:rPr>
          <w:spacing w:val="6"/>
          <w:sz w:val="26"/>
          <w:szCs w:val="26"/>
          <w:lang w:val="es-ES"/>
        </w:rPr>
      </w:pPr>
      <w:r w:rsidRPr="00354EC3">
        <w:rPr>
          <w:spacing w:val="6"/>
          <w:sz w:val="26"/>
          <w:szCs w:val="26"/>
          <w:lang w:val="es-ES"/>
        </w:rPr>
        <w:t xml:space="preserve">No se han aprobado los coeficientes para 2019, 2020 y 2021, sin que tampoco el texto del </w:t>
      </w:r>
      <w:hyperlink r:id="rId68" w:history="1">
        <w:r w:rsidRPr="00354EC3">
          <w:rPr>
            <w:rStyle w:val="Hipervnculo"/>
            <w:spacing w:val="6"/>
            <w:sz w:val="26"/>
            <w:szCs w:val="26"/>
          </w:rPr>
          <w:t>Decreto asturiano 121/2013</w:t>
        </w:r>
      </w:hyperlink>
      <w:r w:rsidRPr="00354EC3">
        <w:rPr>
          <w:spacing w:val="6"/>
          <w:sz w:val="26"/>
          <w:szCs w:val="26"/>
          <w:lang w:val="es-ES"/>
        </w:rPr>
        <w:t xml:space="preserve"> permita entender prorrogados los anteriores, lo que quizás tenga que ver con la expresada jurisprudencia.</w:t>
      </w:r>
    </w:p>
    <w:p w14:paraId="5D8A40E9" w14:textId="77777777" w:rsidR="00D83308" w:rsidRDefault="00C3441F" w:rsidP="00C3441F">
      <w:pPr>
        <w:spacing w:line="280" w:lineRule="atLeast"/>
        <w:ind w:left="1440"/>
        <w:jc w:val="both"/>
        <w:rPr>
          <w:spacing w:val="6"/>
          <w:sz w:val="26"/>
          <w:szCs w:val="26"/>
          <w:lang w:val="es-ES"/>
        </w:rPr>
      </w:pPr>
      <w:r>
        <w:rPr>
          <w:spacing w:val="6"/>
          <w:sz w:val="26"/>
          <w:szCs w:val="26"/>
          <w:lang w:val="es-ES"/>
        </w:rPr>
        <w:t>L</w:t>
      </w:r>
      <w:r w:rsidRPr="00F2517A">
        <w:rPr>
          <w:spacing w:val="6"/>
          <w:sz w:val="26"/>
          <w:szCs w:val="26"/>
          <w:lang w:val="es-ES"/>
        </w:rPr>
        <w:t>a propia</w:t>
      </w:r>
      <w:r>
        <w:rPr>
          <w:spacing w:val="6"/>
          <w:sz w:val="26"/>
          <w:szCs w:val="26"/>
          <w:lang w:val="es-ES"/>
        </w:rPr>
        <w:t xml:space="preserve"> sede electrónica de los Servicios Tributarios del Principado decía que no se encontraban disponibles, aunque desde 2021 ofrecía unos coeficientes con la siguiente advertencia: “</w:t>
      </w:r>
      <w:r w:rsidRPr="003E446B">
        <w:rPr>
          <w:i/>
          <w:spacing w:val="6"/>
          <w:sz w:val="26"/>
          <w:szCs w:val="26"/>
          <w:lang w:val="es-ES"/>
        </w:rPr>
        <w:t>... Estos coeficientes se facilitan como referencia para ayudar al contribuyente a estimar el valor real del bien en el momento de la transmisión. El valor obtenido no condiciona una posible comprobación de valor posterior por la Administración Tributaria...</w:t>
      </w:r>
      <w:r>
        <w:rPr>
          <w:spacing w:val="6"/>
          <w:sz w:val="26"/>
          <w:szCs w:val="26"/>
          <w:lang w:val="es-ES"/>
        </w:rPr>
        <w:t>”.</w:t>
      </w:r>
    </w:p>
    <w:p w14:paraId="1BE9248E" w14:textId="77777777" w:rsidR="00D83308" w:rsidRDefault="00D83308" w:rsidP="00C854F8">
      <w:pPr>
        <w:numPr>
          <w:ilvl w:val="2"/>
          <w:numId w:val="15"/>
        </w:numPr>
        <w:spacing w:line="280" w:lineRule="atLeast"/>
        <w:jc w:val="both"/>
        <w:rPr>
          <w:b/>
          <w:spacing w:val="6"/>
          <w:sz w:val="22"/>
          <w:szCs w:val="22"/>
        </w:rPr>
      </w:pPr>
      <w:bookmarkStart w:id="23" w:name="valorderefencia"/>
      <w:bookmarkEnd w:id="23"/>
      <w:r>
        <w:rPr>
          <w:b/>
          <w:spacing w:val="6"/>
          <w:sz w:val="26"/>
          <w:szCs w:val="26"/>
        </w:rPr>
        <w:t>Valoración desde 1 de enero de 2022</w:t>
      </w:r>
      <w:r w:rsidR="00FF7CB8">
        <w:rPr>
          <w:b/>
          <w:spacing w:val="6"/>
          <w:sz w:val="26"/>
          <w:szCs w:val="26"/>
        </w:rPr>
        <w:t>: valor de referencia</w:t>
      </w:r>
    </w:p>
    <w:p w14:paraId="5A2C235E" w14:textId="77777777" w:rsidR="00B8090A" w:rsidRDefault="004503DF" w:rsidP="004503DF">
      <w:pPr>
        <w:spacing w:line="280" w:lineRule="atLeast"/>
        <w:ind w:left="1440"/>
        <w:jc w:val="both"/>
        <w:rPr>
          <w:spacing w:val="6"/>
          <w:sz w:val="26"/>
          <w:szCs w:val="26"/>
          <w:lang w:val="es-ES"/>
        </w:rPr>
      </w:pPr>
      <w:bookmarkStart w:id="24" w:name="A4b"/>
      <w:bookmarkStart w:id="25" w:name="A3b"/>
      <w:bookmarkEnd w:id="24"/>
      <w:bookmarkEnd w:id="25"/>
      <w:r>
        <w:rPr>
          <w:spacing w:val="6"/>
          <w:sz w:val="26"/>
          <w:szCs w:val="26"/>
          <w:lang w:val="es-ES"/>
        </w:rPr>
        <w:t xml:space="preserve">Todo lo anterior hasta la efectividad en 2022 del llamado </w:t>
      </w:r>
      <w:r>
        <w:rPr>
          <w:rFonts w:ascii="Times New Roman" w:eastAsia="SimSun" w:hAnsi="Times New Roman"/>
          <w:sz w:val="24"/>
          <w:szCs w:val="24"/>
          <w:lang w:eastAsia="zh-CN"/>
        </w:rPr>
        <w:t>«</w:t>
      </w:r>
      <w:r>
        <w:rPr>
          <w:spacing w:val="6"/>
          <w:sz w:val="26"/>
          <w:szCs w:val="26"/>
          <w:lang w:val="es-ES"/>
        </w:rPr>
        <w:t>valor de referencia</w:t>
      </w:r>
      <w:r w:rsidRPr="00185E28">
        <w:rPr>
          <w:rFonts w:ascii="Times New Roman" w:eastAsia="SimSun" w:hAnsi="Times New Roman"/>
          <w:sz w:val="24"/>
          <w:szCs w:val="24"/>
          <w:lang w:eastAsia="zh-CN"/>
        </w:rPr>
        <w:t>»</w:t>
      </w:r>
      <w:r>
        <w:rPr>
          <w:spacing w:val="6"/>
          <w:sz w:val="26"/>
          <w:szCs w:val="26"/>
          <w:lang w:val="es-ES"/>
        </w:rPr>
        <w:t xml:space="preserve"> previsto en la </w:t>
      </w:r>
      <w:hyperlink r:id="rId69" w:history="1">
        <w:r w:rsidRPr="00412A91">
          <w:rPr>
            <w:rStyle w:val="Hipervnculo"/>
            <w:spacing w:val="6"/>
            <w:sz w:val="26"/>
            <w:szCs w:val="26"/>
            <w:lang w:val="es-ES"/>
          </w:rPr>
          <w:t>Ley 11/2021</w:t>
        </w:r>
      </w:hyperlink>
      <w:r w:rsidR="0027657F">
        <w:rPr>
          <w:spacing w:val="6"/>
          <w:sz w:val="26"/>
          <w:szCs w:val="26"/>
          <w:lang w:val="es-ES"/>
        </w:rPr>
        <w:t xml:space="preserve"> para los inmuebles (</w:t>
      </w:r>
      <w:hyperlink r:id="rId70" w:anchor="a10" w:history="1">
        <w:r w:rsidR="0027657F" w:rsidRPr="005E5BE0">
          <w:rPr>
            <w:rStyle w:val="Hipervnculo"/>
            <w:spacing w:val="6"/>
            <w:sz w:val="26"/>
            <w:szCs w:val="26"/>
            <w:lang w:val="es-ES"/>
          </w:rPr>
          <w:t>art. 10-2</w:t>
        </w:r>
        <w:r w:rsidR="008222C4">
          <w:rPr>
            <w:rStyle w:val="Hipervnculo"/>
            <w:spacing w:val="6"/>
            <w:sz w:val="26"/>
            <w:szCs w:val="26"/>
            <w:lang w:val="es-ES"/>
          </w:rPr>
          <w:t>, 25-4 y 30-1</w:t>
        </w:r>
        <w:r w:rsidR="0027657F" w:rsidRPr="005E5BE0">
          <w:rPr>
            <w:rStyle w:val="Hipervnculo"/>
            <w:spacing w:val="6"/>
            <w:sz w:val="26"/>
            <w:szCs w:val="26"/>
            <w:lang w:val="es-ES"/>
          </w:rPr>
          <w:t xml:space="preserve"> D-leg 1/1993</w:t>
        </w:r>
      </w:hyperlink>
      <w:r w:rsidR="003B1E74">
        <w:rPr>
          <w:spacing w:val="6"/>
          <w:sz w:val="26"/>
          <w:szCs w:val="26"/>
          <w:lang w:val="es-ES"/>
        </w:rPr>
        <w:t xml:space="preserve"> </w:t>
      </w:r>
      <w:r w:rsidR="001743E7">
        <w:rPr>
          <w:spacing w:val="6"/>
          <w:sz w:val="26"/>
          <w:szCs w:val="26"/>
          <w:lang w:val="es-ES"/>
        </w:rPr>
        <w:t>para</w:t>
      </w:r>
      <w:r w:rsidR="003C7592">
        <w:rPr>
          <w:spacing w:val="6"/>
          <w:sz w:val="26"/>
          <w:szCs w:val="26"/>
          <w:lang w:val="es-ES"/>
        </w:rPr>
        <w:t xml:space="preserve"> el</w:t>
      </w:r>
      <w:r w:rsidR="001743E7">
        <w:rPr>
          <w:spacing w:val="6"/>
          <w:sz w:val="26"/>
          <w:szCs w:val="26"/>
          <w:lang w:val="es-ES"/>
        </w:rPr>
        <w:t xml:space="preserve"> ITPOyAJD,</w:t>
      </w:r>
      <w:r w:rsidR="003B1E74">
        <w:rPr>
          <w:spacing w:val="6"/>
          <w:sz w:val="26"/>
          <w:szCs w:val="26"/>
          <w:lang w:val="es-ES"/>
        </w:rPr>
        <w:t xml:space="preserve"> </w:t>
      </w:r>
      <w:hyperlink r:id="rId71" w:anchor="c4s1" w:history="1">
        <w:r w:rsidR="003B1E74" w:rsidRPr="003B1E74">
          <w:rPr>
            <w:rStyle w:val="Hipervnculo"/>
            <w:spacing w:val="6"/>
            <w:sz w:val="26"/>
            <w:szCs w:val="26"/>
            <w:lang w:val="es-ES"/>
          </w:rPr>
          <w:t xml:space="preserve">art. 9-3 Ley </w:t>
        </w:r>
        <w:r w:rsidR="003B1E74" w:rsidRPr="003B1E74">
          <w:rPr>
            <w:rStyle w:val="Hipervnculo"/>
            <w:spacing w:val="6"/>
            <w:sz w:val="26"/>
            <w:szCs w:val="26"/>
            <w:lang w:val="es-ES"/>
          </w:rPr>
          <w:lastRenderedPageBreak/>
          <w:t>29/1987</w:t>
        </w:r>
      </w:hyperlink>
      <w:r w:rsidR="001743E7">
        <w:rPr>
          <w:spacing w:val="6"/>
          <w:sz w:val="26"/>
          <w:szCs w:val="26"/>
          <w:lang w:val="es-ES"/>
        </w:rPr>
        <w:t xml:space="preserve"> para</w:t>
      </w:r>
      <w:r w:rsidR="003C7592">
        <w:rPr>
          <w:spacing w:val="6"/>
          <w:sz w:val="26"/>
          <w:szCs w:val="26"/>
          <w:lang w:val="es-ES"/>
        </w:rPr>
        <w:t xml:space="preserve"> el</w:t>
      </w:r>
      <w:r w:rsidR="001743E7">
        <w:rPr>
          <w:spacing w:val="6"/>
          <w:sz w:val="26"/>
          <w:szCs w:val="26"/>
          <w:lang w:val="es-ES"/>
        </w:rPr>
        <w:t xml:space="preserve"> ISyD y </w:t>
      </w:r>
      <w:hyperlink r:id="rId72" w:anchor="a10" w:history="1">
        <w:r w:rsidR="001743E7" w:rsidRPr="000B4947">
          <w:rPr>
            <w:rStyle w:val="Hipervnculo"/>
            <w:spacing w:val="6"/>
            <w:sz w:val="26"/>
            <w:szCs w:val="26"/>
            <w:lang w:val="es-ES"/>
          </w:rPr>
          <w:t>art. 10-1</w:t>
        </w:r>
        <w:r w:rsidR="000B4947" w:rsidRPr="000B4947">
          <w:rPr>
            <w:rStyle w:val="Hipervnculo"/>
            <w:spacing w:val="6"/>
            <w:sz w:val="26"/>
            <w:szCs w:val="26"/>
            <w:lang w:val="es-ES"/>
          </w:rPr>
          <w:t xml:space="preserve"> Ley 19/1991</w:t>
        </w:r>
      </w:hyperlink>
      <w:r w:rsidR="001743E7">
        <w:rPr>
          <w:spacing w:val="6"/>
          <w:sz w:val="26"/>
          <w:szCs w:val="26"/>
          <w:lang w:val="es-ES"/>
        </w:rPr>
        <w:t xml:space="preserve"> para el Impuesto sobre el Patrimonio</w:t>
      </w:r>
      <w:r w:rsidR="0027657F">
        <w:rPr>
          <w:spacing w:val="6"/>
          <w:sz w:val="26"/>
          <w:szCs w:val="26"/>
          <w:lang w:val="es-ES"/>
        </w:rPr>
        <w:t>)</w:t>
      </w:r>
      <w:r w:rsidR="005E5BE0">
        <w:rPr>
          <w:spacing w:val="6"/>
          <w:sz w:val="26"/>
          <w:szCs w:val="26"/>
          <w:lang w:val="es-ES"/>
        </w:rPr>
        <w:t>:</w:t>
      </w:r>
    </w:p>
    <w:p w14:paraId="6A55A76F" w14:textId="77777777" w:rsidR="005E5BE0" w:rsidRDefault="00BB0487" w:rsidP="00C854F8">
      <w:pPr>
        <w:numPr>
          <w:ilvl w:val="0"/>
          <w:numId w:val="35"/>
        </w:numPr>
        <w:spacing w:line="280" w:lineRule="atLeast"/>
        <w:jc w:val="both"/>
        <w:rPr>
          <w:spacing w:val="6"/>
          <w:sz w:val="26"/>
          <w:szCs w:val="26"/>
          <w:lang w:val="es-ES"/>
        </w:rPr>
      </w:pPr>
      <w:r>
        <w:rPr>
          <w:spacing w:val="6"/>
          <w:sz w:val="26"/>
          <w:szCs w:val="26"/>
          <w:lang w:val="es-ES"/>
        </w:rPr>
        <w:t>Se determina por el Catastro, pero es distinto del valor catastral.</w:t>
      </w:r>
    </w:p>
    <w:p w14:paraId="730548CE" w14:textId="77777777" w:rsidR="0020159C" w:rsidRDefault="0020159C" w:rsidP="00C854F8">
      <w:pPr>
        <w:numPr>
          <w:ilvl w:val="0"/>
          <w:numId w:val="35"/>
        </w:numPr>
        <w:spacing w:line="280" w:lineRule="atLeast"/>
        <w:jc w:val="both"/>
        <w:rPr>
          <w:spacing w:val="6"/>
          <w:sz w:val="26"/>
          <w:szCs w:val="26"/>
          <w:lang w:val="es-ES"/>
        </w:rPr>
      </w:pPr>
      <w:r>
        <w:rPr>
          <w:spacing w:val="6"/>
          <w:sz w:val="26"/>
          <w:szCs w:val="26"/>
          <w:lang w:val="es-ES"/>
        </w:rPr>
        <w:t>Cuando no pueda ser certificado, sin perjuicio de la comprobación administrativa, se estará al valor de mercado.</w:t>
      </w:r>
    </w:p>
    <w:p w14:paraId="2CC6EDDD" w14:textId="77777777" w:rsidR="00BB0487" w:rsidRDefault="00BB0487" w:rsidP="00C854F8">
      <w:pPr>
        <w:numPr>
          <w:ilvl w:val="0"/>
          <w:numId w:val="35"/>
        </w:numPr>
        <w:spacing w:line="280" w:lineRule="atLeast"/>
        <w:jc w:val="both"/>
        <w:rPr>
          <w:spacing w:val="6"/>
          <w:sz w:val="26"/>
          <w:szCs w:val="26"/>
          <w:lang w:val="es-ES"/>
        </w:rPr>
      </w:pPr>
      <w:r>
        <w:rPr>
          <w:spacing w:val="6"/>
          <w:sz w:val="26"/>
          <w:szCs w:val="26"/>
          <w:lang w:val="es-ES"/>
        </w:rPr>
        <w:t>Prevalece</w:t>
      </w:r>
      <w:r w:rsidR="0020159C">
        <w:rPr>
          <w:spacing w:val="6"/>
          <w:sz w:val="26"/>
          <w:szCs w:val="26"/>
          <w:lang w:val="es-ES"/>
        </w:rPr>
        <w:t xml:space="preserve"> siempre</w:t>
      </w:r>
      <w:r>
        <w:rPr>
          <w:spacing w:val="6"/>
          <w:sz w:val="26"/>
          <w:szCs w:val="26"/>
          <w:lang w:val="es-ES"/>
        </w:rPr>
        <w:t xml:space="preserve"> el valor declarado si es superior.</w:t>
      </w:r>
    </w:p>
    <w:p w14:paraId="66A007D5" w14:textId="77777777" w:rsidR="00595EAA" w:rsidRDefault="00595EAA" w:rsidP="00C854F8">
      <w:pPr>
        <w:numPr>
          <w:ilvl w:val="0"/>
          <w:numId w:val="35"/>
        </w:numPr>
        <w:spacing w:line="280" w:lineRule="atLeast"/>
        <w:jc w:val="both"/>
        <w:rPr>
          <w:spacing w:val="6"/>
          <w:sz w:val="26"/>
          <w:szCs w:val="26"/>
          <w:lang w:val="es-ES"/>
        </w:rPr>
      </w:pPr>
      <w:r w:rsidRPr="00595EAA">
        <w:rPr>
          <w:spacing w:val="6"/>
          <w:sz w:val="26"/>
          <w:szCs w:val="26"/>
          <w:lang w:val="es-ES"/>
        </w:rPr>
        <w:t xml:space="preserve">Aunque, según los </w:t>
      </w:r>
      <w:hyperlink r:id="rId73" w:anchor="a10" w:history="1">
        <w:r w:rsidRPr="00595EAA">
          <w:rPr>
            <w:rStyle w:val="Hipervnculo"/>
            <w:spacing w:val="6"/>
            <w:sz w:val="26"/>
            <w:szCs w:val="26"/>
            <w:lang w:val="es-ES"/>
          </w:rPr>
          <w:t>arts. 10-3 del TRITPAJD</w:t>
        </w:r>
      </w:hyperlink>
      <w:r w:rsidRPr="00595EAA">
        <w:rPr>
          <w:spacing w:val="6"/>
          <w:sz w:val="26"/>
          <w:szCs w:val="26"/>
          <w:lang w:val="es-ES"/>
        </w:rPr>
        <w:t xml:space="preserve"> y </w:t>
      </w:r>
      <w:hyperlink r:id="rId74" w:anchor="a9" w:history="1">
        <w:r w:rsidRPr="00595EAA">
          <w:rPr>
            <w:rStyle w:val="Hipervnculo"/>
            <w:spacing w:val="6"/>
            <w:sz w:val="26"/>
            <w:szCs w:val="26"/>
            <w:lang w:val="es-ES"/>
          </w:rPr>
          <w:t>9-4 de la LISD</w:t>
        </w:r>
      </w:hyperlink>
      <w:r w:rsidRPr="00595EAA">
        <w:rPr>
          <w:spacing w:val="6"/>
          <w:sz w:val="26"/>
          <w:szCs w:val="26"/>
          <w:lang w:val="es-ES"/>
        </w:rPr>
        <w:t>, sólo podrá ser impugnado cuando se recurra la liquidación o se solicite la rectificación de la autoliquidación, la sede electrónica del Catastro (</w:t>
      </w:r>
      <w:hyperlink r:id="rId75" w:history="1">
        <w:r w:rsidRPr="00595EAA">
          <w:rPr>
            <w:rStyle w:val="Hipervnculo"/>
            <w:spacing w:val="6"/>
            <w:sz w:val="26"/>
            <w:szCs w:val="26"/>
            <w:lang w:val="es-ES"/>
          </w:rPr>
          <w:t>TRAMITES ANTE CATASTRO/declaraciones, recursos, solicitudes.../Presentar ESCRITOS SOBRE EL VALOR DE REFERENCIA DE UN INMUEBLE DEL QUE SE ES TITULAR</w:t>
        </w:r>
      </w:hyperlink>
      <w:r w:rsidRPr="00595EAA">
        <w:rPr>
          <w:spacing w:val="6"/>
          <w:sz w:val="26"/>
          <w:szCs w:val="26"/>
          <w:lang w:val="es-ES"/>
        </w:rPr>
        <w:t>) abre la posibilidad de que el titular catastral pueda conseguir su modificación sin necesidad de transmisión</w:t>
      </w:r>
      <w:r>
        <w:rPr>
          <w:spacing w:val="6"/>
          <w:sz w:val="26"/>
          <w:szCs w:val="26"/>
          <w:lang w:val="es-ES"/>
        </w:rPr>
        <w:t>.</w:t>
      </w:r>
    </w:p>
    <w:p w14:paraId="24595A56" w14:textId="77777777" w:rsidR="00595EAA" w:rsidRPr="00595EAA" w:rsidRDefault="00595EAA" w:rsidP="00C854F8">
      <w:pPr>
        <w:numPr>
          <w:ilvl w:val="0"/>
          <w:numId w:val="35"/>
        </w:numPr>
        <w:spacing w:line="280" w:lineRule="atLeast"/>
        <w:jc w:val="both"/>
        <w:rPr>
          <w:spacing w:val="6"/>
          <w:sz w:val="26"/>
          <w:szCs w:val="26"/>
          <w:lang w:val="es-ES"/>
        </w:rPr>
      </w:pPr>
      <w:r w:rsidRPr="00595EAA">
        <w:rPr>
          <w:spacing w:val="6"/>
          <w:sz w:val="26"/>
          <w:szCs w:val="26"/>
          <w:lang w:val="es-ES"/>
        </w:rPr>
        <w:t xml:space="preserve">Dado que el valor de referencia no distingue entre el terreno y la edificación, en los casos que sea necesario (por ejemplo, una declaración de </w:t>
      </w:r>
      <w:r w:rsidRPr="00595EAA">
        <w:rPr>
          <w:spacing w:val="6"/>
          <w:sz w:val="26"/>
          <w:szCs w:val="26"/>
        </w:rPr>
        <w:t>«</w:t>
      </w:r>
      <w:r w:rsidRPr="00595EAA">
        <w:rPr>
          <w:spacing w:val="6"/>
          <w:sz w:val="26"/>
          <w:szCs w:val="26"/>
          <w:lang w:val="es-ES"/>
        </w:rPr>
        <w:t>obra vieja</w:t>
      </w:r>
      <w:r w:rsidRPr="00595EAA">
        <w:rPr>
          <w:spacing w:val="6"/>
          <w:sz w:val="26"/>
          <w:szCs w:val="26"/>
        </w:rPr>
        <w:t>»</w:t>
      </w:r>
      <w:r w:rsidRPr="00595EAA">
        <w:rPr>
          <w:spacing w:val="6"/>
          <w:sz w:val="26"/>
          <w:szCs w:val="26"/>
          <w:lang w:val="es-ES"/>
        </w:rPr>
        <w:t>, una agrupación con edificaciones no declaradas, etc) puede determinarse proporcionalmente al valor catastral (criterio seguido en el IIVTNU).</w:t>
      </w:r>
      <w:r w:rsidR="006F2AD5">
        <w:rPr>
          <w:spacing w:val="6"/>
          <w:sz w:val="26"/>
          <w:szCs w:val="26"/>
          <w:lang w:val="es-ES"/>
        </w:rPr>
        <w:t xml:space="preserve"> </w:t>
      </w:r>
      <w:r w:rsidRPr="00595EAA">
        <w:rPr>
          <w:spacing w:val="6"/>
          <w:sz w:val="26"/>
          <w:szCs w:val="26"/>
          <w:lang w:val="es-ES"/>
        </w:rPr>
        <w:t>O quizás mejor, el que resulte del Certificado de Motivación del Valor de Referencia (al lado derecho del Certificado de Valor de Referencia y sin aplicar todavía el factor de minoración).</w:t>
      </w:r>
    </w:p>
    <w:p w14:paraId="12EB548F" w14:textId="77777777" w:rsidR="004503DF" w:rsidRDefault="00B8090A" w:rsidP="004503DF">
      <w:pPr>
        <w:spacing w:line="280" w:lineRule="atLeast"/>
        <w:ind w:left="1440"/>
        <w:jc w:val="both"/>
        <w:rPr>
          <w:spacing w:val="6"/>
          <w:sz w:val="26"/>
          <w:szCs w:val="26"/>
          <w:lang w:val="es-ES"/>
        </w:rPr>
      </w:pPr>
      <w:r>
        <w:rPr>
          <w:spacing w:val="6"/>
          <w:sz w:val="26"/>
          <w:szCs w:val="26"/>
          <w:lang w:val="es-ES"/>
        </w:rPr>
        <w:t>P</w:t>
      </w:r>
      <w:r w:rsidR="0027657F">
        <w:rPr>
          <w:spacing w:val="6"/>
          <w:sz w:val="26"/>
          <w:szCs w:val="26"/>
          <w:lang w:val="es-ES"/>
        </w:rPr>
        <w:t>ara su</w:t>
      </w:r>
      <w:r w:rsidR="004503DF">
        <w:rPr>
          <w:spacing w:val="6"/>
          <w:sz w:val="26"/>
          <w:szCs w:val="26"/>
          <w:lang w:val="es-ES"/>
        </w:rPr>
        <w:t xml:space="preserve"> determinación la </w:t>
      </w:r>
      <w:hyperlink r:id="rId76" w:history="1">
        <w:r w:rsidR="004503DF" w:rsidRPr="00492CD2">
          <w:rPr>
            <w:rStyle w:val="Hipervnculo"/>
            <w:spacing w:val="6"/>
            <w:sz w:val="26"/>
            <w:szCs w:val="26"/>
            <w:lang w:val="es-ES"/>
          </w:rPr>
          <w:t>Orden HFP/1104/2021, de 7 de octubre</w:t>
        </w:r>
      </w:hyperlink>
      <w:r w:rsidR="004503DF">
        <w:rPr>
          <w:spacing w:val="6"/>
          <w:sz w:val="26"/>
          <w:szCs w:val="26"/>
          <w:lang w:val="es-ES"/>
        </w:rPr>
        <w:t xml:space="preserve">, ha aprobado un </w:t>
      </w:r>
      <w:r w:rsidR="004503DF" w:rsidRPr="00492CD2">
        <w:rPr>
          <w:spacing w:val="6"/>
          <w:sz w:val="26"/>
          <w:szCs w:val="26"/>
          <w:lang w:val="es-ES"/>
        </w:rPr>
        <w:t xml:space="preserve">factor de minoración </w:t>
      </w:r>
      <w:r w:rsidR="004503DF">
        <w:rPr>
          <w:spacing w:val="6"/>
          <w:sz w:val="26"/>
          <w:szCs w:val="26"/>
          <w:lang w:val="es-ES"/>
        </w:rPr>
        <w:t xml:space="preserve">del 0,9, tanto para inmuebles urbanos como rústicos, el cual ya ha sido tomado en consideración en el </w:t>
      </w:r>
      <w:r w:rsidR="0027657F">
        <w:rPr>
          <w:rFonts w:ascii="Times New Roman" w:eastAsia="SimSun" w:hAnsi="Times New Roman"/>
          <w:sz w:val="24"/>
          <w:szCs w:val="24"/>
          <w:lang w:eastAsia="zh-CN"/>
        </w:rPr>
        <w:t>«</w:t>
      </w:r>
      <w:r w:rsidR="004503DF">
        <w:rPr>
          <w:spacing w:val="6"/>
          <w:sz w:val="26"/>
          <w:szCs w:val="26"/>
          <w:lang w:val="es-ES"/>
        </w:rPr>
        <w:t>valor de referencia</w:t>
      </w:r>
      <w:r w:rsidR="0027657F" w:rsidRPr="00185E28">
        <w:rPr>
          <w:rFonts w:ascii="Times New Roman" w:eastAsia="SimSun" w:hAnsi="Times New Roman"/>
          <w:sz w:val="24"/>
          <w:szCs w:val="24"/>
          <w:lang w:eastAsia="zh-CN"/>
        </w:rPr>
        <w:t>»</w:t>
      </w:r>
      <w:r w:rsidR="004503DF">
        <w:rPr>
          <w:spacing w:val="6"/>
          <w:sz w:val="26"/>
          <w:szCs w:val="26"/>
          <w:lang w:val="es-ES"/>
        </w:rPr>
        <w:t xml:space="preserve"> que puede obtenerse a partir de la referencia catastral en la </w:t>
      </w:r>
      <w:hyperlink r:id="rId77" w:history="1">
        <w:r w:rsidR="004503DF" w:rsidRPr="00F861B4">
          <w:rPr>
            <w:rStyle w:val="Hipervnculo"/>
            <w:spacing w:val="6"/>
            <w:sz w:val="26"/>
            <w:szCs w:val="26"/>
            <w:lang w:val="es-ES"/>
          </w:rPr>
          <w:t>sede electrónica del Catastro</w:t>
        </w:r>
      </w:hyperlink>
      <w:r w:rsidR="00F861B4">
        <w:rPr>
          <w:spacing w:val="6"/>
          <w:sz w:val="26"/>
          <w:szCs w:val="26"/>
          <w:lang w:val="es-ES"/>
        </w:rPr>
        <w:t xml:space="preserve"> (recomendable no entrar directamente por la página de inicio, sino </w:t>
      </w:r>
      <w:r w:rsidR="008222C4">
        <w:rPr>
          <w:spacing w:val="6"/>
          <w:sz w:val="26"/>
          <w:szCs w:val="26"/>
          <w:lang w:val="es-ES"/>
        </w:rPr>
        <w:t>identificándose previamente como para la obtención notarial de la certificación catastral).</w:t>
      </w:r>
      <w:r w:rsidR="006A373D">
        <w:rPr>
          <w:spacing w:val="6"/>
          <w:sz w:val="26"/>
          <w:szCs w:val="26"/>
          <w:lang w:val="es-ES"/>
        </w:rPr>
        <w:br/>
        <w:t xml:space="preserve">Puede verse el siguiente Cuadro práctico sobre la incidencia o no del valor de referencia en los distintos impuestos en </w:t>
      </w:r>
      <w:hyperlink r:id="rId78" w:history="1">
        <w:r w:rsidR="006A373D" w:rsidRPr="00CF317C">
          <w:rPr>
            <w:rStyle w:val="Hipervnculo"/>
            <w:spacing w:val="6"/>
            <w:sz w:val="26"/>
            <w:szCs w:val="26"/>
            <w:lang w:val="es-ES"/>
          </w:rPr>
          <w:t>www.oviedonotaria.com</w:t>
        </w:r>
      </w:hyperlink>
      <w:r w:rsidR="00351725">
        <w:rPr>
          <w:spacing w:val="6"/>
          <w:sz w:val="26"/>
          <w:szCs w:val="26"/>
          <w:lang w:val="es-ES"/>
        </w:rPr>
        <w:t>.</w:t>
      </w:r>
    </w:p>
    <w:p w14:paraId="6917B814" w14:textId="77777777" w:rsidR="00F109C5" w:rsidRDefault="00A30342" w:rsidP="004503DF">
      <w:pPr>
        <w:spacing w:line="280" w:lineRule="atLeast"/>
        <w:ind w:left="1440"/>
        <w:jc w:val="both"/>
        <w:rPr>
          <w:spacing w:val="6"/>
          <w:sz w:val="26"/>
          <w:szCs w:val="26"/>
          <w:lang w:val="es-ES"/>
        </w:rPr>
      </w:pPr>
      <w:r>
        <w:rPr>
          <w:spacing w:val="6"/>
          <w:sz w:val="26"/>
          <w:szCs w:val="26"/>
          <w:lang w:val="es-ES"/>
        </w:rPr>
        <w:t>Decíamos que c</w:t>
      </w:r>
      <w:r w:rsidR="00F109C5" w:rsidRPr="00F109C5">
        <w:rPr>
          <w:spacing w:val="6"/>
          <w:sz w:val="26"/>
          <w:szCs w:val="26"/>
          <w:lang w:val="es-ES"/>
        </w:rPr>
        <w:t>uando el valor de referencia no pueda ser certificado, sin perjuicio de la comprobación administrativa, se estará al valor de mercado si fuere superior al valor declarado</w:t>
      </w:r>
      <w:r>
        <w:rPr>
          <w:spacing w:val="6"/>
          <w:sz w:val="26"/>
          <w:szCs w:val="26"/>
          <w:lang w:val="es-ES"/>
        </w:rPr>
        <w:t>.</w:t>
      </w:r>
    </w:p>
    <w:p w14:paraId="4DFDD811" w14:textId="77777777" w:rsidR="00A30342" w:rsidRDefault="00A30342" w:rsidP="004503DF">
      <w:pPr>
        <w:spacing w:line="280" w:lineRule="atLeast"/>
        <w:ind w:left="1440"/>
        <w:jc w:val="both"/>
        <w:rPr>
          <w:spacing w:val="6"/>
          <w:sz w:val="26"/>
          <w:szCs w:val="26"/>
          <w:lang w:val="es-ES"/>
        </w:rPr>
      </w:pPr>
      <w:r w:rsidRPr="00A30342">
        <w:rPr>
          <w:spacing w:val="6"/>
          <w:sz w:val="26"/>
          <w:szCs w:val="26"/>
          <w:lang w:val="es-ES"/>
        </w:rPr>
        <w:t xml:space="preserve">La eficacia que deba atribuirse entonces a las valoraciones mínimas ofrecidas por las Haciendas autonómicas será la misma que ha ido precisando el Tribunal Supremo para la situación anterior y que resume la </w:t>
      </w:r>
      <w:hyperlink r:id="rId79" w:history="1">
        <w:r w:rsidRPr="00A30342">
          <w:rPr>
            <w:rStyle w:val="Hipervnculo"/>
            <w:spacing w:val="6"/>
            <w:sz w:val="26"/>
            <w:szCs w:val="26"/>
            <w:lang w:val="es-ES"/>
          </w:rPr>
          <w:t>STS de 21 de enero de 2021</w:t>
        </w:r>
      </w:hyperlink>
      <w:r w:rsidRPr="00A30342">
        <w:rPr>
          <w:spacing w:val="6"/>
          <w:sz w:val="26"/>
          <w:szCs w:val="26"/>
          <w:lang w:val="es-ES"/>
        </w:rPr>
        <w:t xml:space="preserve">: [1] Que el perito de la Administración efectúe una comprobación directa y personal del bien que se valora, mediante su visita si es inmueble [2] Que si el contribuyente se somete a los valores presuntivos </w:t>
      </w:r>
      <w:r w:rsidRPr="00A30342">
        <w:rPr>
          <w:spacing w:val="6"/>
          <w:sz w:val="26"/>
          <w:szCs w:val="26"/>
          <w:lang w:val="es-ES"/>
        </w:rPr>
        <w:lastRenderedPageBreak/>
        <w:t>aprobados con carácter general por la Administración, no es posible efectuar una ulterior comprobación</w:t>
      </w:r>
      <w:r>
        <w:rPr>
          <w:spacing w:val="6"/>
          <w:sz w:val="26"/>
          <w:szCs w:val="26"/>
          <w:lang w:val="es-ES"/>
        </w:rPr>
        <w:t>.</w:t>
      </w:r>
    </w:p>
    <w:p w14:paraId="1E56E73C" w14:textId="77777777" w:rsidR="00A30342" w:rsidRPr="00F109C5" w:rsidRDefault="00A30342" w:rsidP="00A30342">
      <w:pPr>
        <w:spacing w:line="280" w:lineRule="atLeast"/>
        <w:ind w:left="1440"/>
        <w:jc w:val="both"/>
        <w:rPr>
          <w:spacing w:val="6"/>
          <w:sz w:val="26"/>
          <w:szCs w:val="26"/>
          <w:lang w:val="es-ES"/>
        </w:rPr>
      </w:pPr>
      <w:r w:rsidRPr="00A30342">
        <w:rPr>
          <w:spacing w:val="6"/>
          <w:sz w:val="26"/>
          <w:szCs w:val="26"/>
          <w:lang w:val="es-ES"/>
        </w:rPr>
        <w:t xml:space="preserve">Asturias no ha aprobado coeficientes desde 2019, sin que el </w:t>
      </w:r>
      <w:hyperlink r:id="rId80" w:history="1">
        <w:r w:rsidRPr="00A30342">
          <w:rPr>
            <w:rStyle w:val="Hipervnculo"/>
            <w:spacing w:val="6"/>
            <w:sz w:val="26"/>
            <w:szCs w:val="26"/>
          </w:rPr>
          <w:t>Decreto asturiano 121/2013</w:t>
        </w:r>
      </w:hyperlink>
      <w:r w:rsidRPr="00A30342">
        <w:rPr>
          <w:spacing w:val="6"/>
          <w:sz w:val="26"/>
          <w:szCs w:val="26"/>
          <w:lang w:val="es-ES"/>
        </w:rPr>
        <w:t xml:space="preserve"> permitiera entender prorrogados los anteriores, a diferencia de otras Comunidades Autónomas.</w:t>
      </w:r>
      <w:r>
        <w:rPr>
          <w:spacing w:val="6"/>
          <w:sz w:val="26"/>
          <w:szCs w:val="26"/>
          <w:lang w:val="es-ES"/>
        </w:rPr>
        <w:t xml:space="preserve"> </w:t>
      </w:r>
      <w:r w:rsidRPr="00A30342">
        <w:rPr>
          <w:spacing w:val="6"/>
          <w:sz w:val="26"/>
          <w:szCs w:val="26"/>
          <w:lang w:val="es-ES"/>
        </w:rPr>
        <w:t xml:space="preserve">La sede electrónica de los </w:t>
      </w:r>
      <w:hyperlink r:id="rId81" w:history="1">
        <w:r w:rsidRPr="00A30342">
          <w:rPr>
            <w:rStyle w:val="Hipervnculo"/>
            <w:spacing w:val="6"/>
            <w:sz w:val="26"/>
            <w:szCs w:val="26"/>
            <w:lang w:val="es-ES"/>
          </w:rPr>
          <w:t>Servicios Tributarios del Principado</w:t>
        </w:r>
      </w:hyperlink>
      <w:r w:rsidRPr="00A30342">
        <w:rPr>
          <w:spacing w:val="6"/>
          <w:sz w:val="26"/>
          <w:szCs w:val="26"/>
          <w:lang w:val="es-ES"/>
        </w:rPr>
        <w:t xml:space="preserve">, decía que no se encontraban disponibles, aunque en 2021 ofreció </w:t>
      </w:r>
      <w:r>
        <w:rPr>
          <w:spacing w:val="6"/>
          <w:sz w:val="26"/>
          <w:szCs w:val="26"/>
          <w:lang w:val="es-ES"/>
        </w:rPr>
        <w:t xml:space="preserve">unos coeficientes orientativos. </w:t>
      </w:r>
      <w:r w:rsidRPr="00A30342">
        <w:rPr>
          <w:spacing w:val="6"/>
          <w:sz w:val="26"/>
          <w:szCs w:val="26"/>
          <w:lang w:val="es-ES"/>
        </w:rPr>
        <w:t>Desde 2022, en defecto de valor de referencia, sigue ofreciendo esos mismos coeficientes orientativos, con la advertencia de que ello no condiciona una posible comprobación singularizada.</w:t>
      </w:r>
    </w:p>
    <w:p w14:paraId="06F1A139" w14:textId="77777777" w:rsidR="00EE1145" w:rsidRDefault="00EE1145" w:rsidP="00C854F8">
      <w:pPr>
        <w:numPr>
          <w:ilvl w:val="2"/>
          <w:numId w:val="15"/>
        </w:numPr>
        <w:spacing w:line="280" w:lineRule="atLeast"/>
        <w:jc w:val="both"/>
        <w:rPr>
          <w:b/>
          <w:color w:val="000000"/>
          <w:spacing w:val="6"/>
          <w:sz w:val="22"/>
          <w:szCs w:val="22"/>
        </w:rPr>
      </w:pPr>
      <w:bookmarkStart w:id="26" w:name="Liquidación"/>
      <w:bookmarkEnd w:id="26"/>
      <w:r>
        <w:rPr>
          <w:b/>
          <w:color w:val="000000"/>
          <w:spacing w:val="6"/>
          <w:sz w:val="26"/>
          <w:szCs w:val="26"/>
        </w:rPr>
        <w:t>Liquidación</w:t>
      </w:r>
    </w:p>
    <w:p w14:paraId="7EC2B290" w14:textId="77777777" w:rsidR="00EE1145" w:rsidRDefault="00EE1145">
      <w:pPr>
        <w:spacing w:line="280" w:lineRule="atLeast"/>
        <w:ind w:left="1440"/>
        <w:jc w:val="both"/>
        <w:rPr>
          <w:spacing w:val="6"/>
          <w:sz w:val="26"/>
          <w:szCs w:val="26"/>
        </w:rPr>
      </w:pPr>
      <w:r>
        <w:rPr>
          <w:spacing w:val="6"/>
          <w:sz w:val="26"/>
          <w:szCs w:val="26"/>
        </w:rPr>
        <w:t>En Asturias se ha llegado a la Integración de la plataforma notarial SIGNO con el correspondiente Portal Tributario, lo que permite a cualquier notario español la liquidación telemática del ITPyAJD. Exige el envío previo de la copia simple electrónica y los pagos se hacen mediante cargo en una cuenta del Notario abierta en BBVA o LIBERBANK</w:t>
      </w:r>
      <w:r w:rsidR="00907CF0">
        <w:rPr>
          <w:spacing w:val="6"/>
          <w:sz w:val="26"/>
          <w:szCs w:val="26"/>
        </w:rPr>
        <w:t xml:space="preserve"> (hoy UNICAJA)</w:t>
      </w:r>
      <w:r>
        <w:rPr>
          <w:rStyle w:val="Refdenotaalfinal"/>
          <w:b/>
          <w:spacing w:val="6"/>
          <w:sz w:val="28"/>
          <w:szCs w:val="28"/>
        </w:rPr>
        <w:endnoteReference w:id="7"/>
      </w:r>
      <w:r>
        <w:rPr>
          <w:spacing w:val="6"/>
          <w:sz w:val="26"/>
          <w:szCs w:val="26"/>
        </w:rPr>
        <w:t>.</w:t>
      </w:r>
    </w:p>
    <w:p w14:paraId="0E493A9F" w14:textId="78E9E387" w:rsidR="004E4B9E" w:rsidRPr="00246225" w:rsidRDefault="00246225">
      <w:pPr>
        <w:spacing w:line="280" w:lineRule="atLeast"/>
        <w:ind w:left="1440"/>
        <w:jc w:val="both"/>
        <w:rPr>
          <w:rFonts w:ascii="Times New Roman" w:hAnsi="Times New Roman"/>
          <w:spacing w:val="6"/>
          <w:sz w:val="26"/>
          <w:szCs w:val="26"/>
        </w:rPr>
      </w:pPr>
      <w:r w:rsidRPr="00246225">
        <w:rPr>
          <w:rFonts w:ascii="Times New Roman" w:hAnsi="Times New Roman"/>
          <w:spacing w:val="6"/>
          <w:sz w:val="26"/>
          <w:szCs w:val="26"/>
        </w:rPr>
        <w:t xml:space="preserve">Mediante email de 12 de mayo de 2015 el Centro Tecnológico del Notariado nos informa de que </w:t>
      </w:r>
      <w:r w:rsidRPr="00246225">
        <w:rPr>
          <w:rFonts w:ascii="Times New Roman" w:hAnsi="Times New Roman"/>
          <w:color w:val="222222"/>
          <w:sz w:val="26"/>
          <w:szCs w:val="26"/>
          <w:shd w:val="clear" w:color="auto" w:fill="FFFFFF"/>
        </w:rPr>
        <w:t xml:space="preserve">se ha habilitado en la plataforma SIGNO un nuevo servicio para la liquidación del Impuesto </w:t>
      </w:r>
      <w:r w:rsidR="003D171C">
        <w:rPr>
          <w:rFonts w:ascii="Times New Roman" w:hAnsi="Times New Roman"/>
          <w:color w:val="222222"/>
          <w:sz w:val="26"/>
          <w:szCs w:val="26"/>
          <w:shd w:val="clear" w:color="auto" w:fill="FFFFFF"/>
        </w:rPr>
        <w:t>sobre</w:t>
      </w:r>
      <w:r w:rsidRPr="00246225">
        <w:rPr>
          <w:rFonts w:ascii="Times New Roman" w:hAnsi="Times New Roman"/>
          <w:color w:val="222222"/>
          <w:sz w:val="26"/>
          <w:szCs w:val="26"/>
          <w:shd w:val="clear" w:color="auto" w:fill="FFFFFF"/>
        </w:rPr>
        <w:t xml:space="preserve"> Donaciones en el Principado de Asturias.</w:t>
      </w:r>
    </w:p>
    <w:p w14:paraId="2A5AA66D" w14:textId="77777777" w:rsidR="00DF4D44" w:rsidRDefault="00DF4D44">
      <w:pPr>
        <w:spacing w:line="280" w:lineRule="atLeast"/>
        <w:ind w:left="1440"/>
        <w:jc w:val="both"/>
        <w:rPr>
          <w:spacing w:val="6"/>
          <w:sz w:val="26"/>
          <w:szCs w:val="26"/>
        </w:rPr>
      </w:pPr>
      <w:r>
        <w:rPr>
          <w:spacing w:val="6"/>
          <w:sz w:val="26"/>
          <w:szCs w:val="26"/>
        </w:rPr>
        <w:t>Respecto al I</w:t>
      </w:r>
      <w:r w:rsidR="004E4B9E">
        <w:rPr>
          <w:spacing w:val="6"/>
          <w:sz w:val="26"/>
          <w:szCs w:val="26"/>
        </w:rPr>
        <w:t>mpuesto sobre Sucesiones</w:t>
      </w:r>
      <w:r>
        <w:rPr>
          <w:spacing w:val="6"/>
          <w:sz w:val="26"/>
          <w:szCs w:val="26"/>
        </w:rPr>
        <w:t>, con fecha 20 de abril de 2020, se comunica que ya es posible la liquidación telemática por el notario a través del programa ASPA. En tanto se procede a la Integración con la plataforma n</w:t>
      </w:r>
      <w:r w:rsidR="00FF0B0F">
        <w:rPr>
          <w:spacing w:val="6"/>
          <w:sz w:val="26"/>
          <w:szCs w:val="26"/>
        </w:rPr>
        <w:t>otaria SIGNO existe un</w:t>
      </w:r>
      <w:r>
        <w:rPr>
          <w:spacing w:val="6"/>
          <w:sz w:val="26"/>
          <w:szCs w:val="26"/>
        </w:rPr>
        <w:t xml:space="preserve"> </w:t>
      </w:r>
      <w:hyperlink r:id="rId82" w:history="1">
        <w:r w:rsidRPr="006A5A8C">
          <w:rPr>
            <w:rStyle w:val="Hipervnculo"/>
            <w:spacing w:val="6"/>
            <w:sz w:val="26"/>
            <w:szCs w:val="26"/>
          </w:rPr>
          <w:t>protocolo de actuación para la liquidación del ISyD</w:t>
        </w:r>
      </w:hyperlink>
      <w:r>
        <w:rPr>
          <w:spacing w:val="6"/>
          <w:sz w:val="26"/>
          <w:szCs w:val="26"/>
        </w:rPr>
        <w:t>.</w:t>
      </w:r>
      <w:r w:rsidR="00F419A1">
        <w:rPr>
          <w:spacing w:val="6"/>
          <w:sz w:val="26"/>
          <w:szCs w:val="26"/>
        </w:rPr>
        <w:br/>
        <w:t>Así para las prescritas los pasos serían:</w:t>
      </w:r>
      <w:r w:rsidR="00F419A1">
        <w:rPr>
          <w:spacing w:val="6"/>
          <w:sz w:val="26"/>
          <w:szCs w:val="26"/>
        </w:rPr>
        <w:br/>
        <w:t>1º.- Descargar en cada ordenador el programa ASPA.</w:t>
      </w:r>
    </w:p>
    <w:p w14:paraId="72AF7411" w14:textId="77777777" w:rsidR="00F419A1" w:rsidRDefault="00F419A1">
      <w:pPr>
        <w:spacing w:line="280" w:lineRule="atLeast"/>
        <w:ind w:left="1440"/>
        <w:jc w:val="both"/>
        <w:rPr>
          <w:spacing w:val="6"/>
          <w:sz w:val="26"/>
          <w:szCs w:val="26"/>
        </w:rPr>
      </w:pPr>
      <w:r>
        <w:rPr>
          <w:spacing w:val="6"/>
          <w:sz w:val="26"/>
          <w:szCs w:val="26"/>
        </w:rPr>
        <w:t>2º.- Generar en el programa el modelo 653 (en un mismo modelo caben varias herencias y sólo pide los fallecidos con su NIF y dirección).</w:t>
      </w:r>
    </w:p>
    <w:p w14:paraId="5004B386" w14:textId="77777777" w:rsidR="00F419A1" w:rsidRDefault="00F419A1">
      <w:pPr>
        <w:spacing w:line="280" w:lineRule="atLeast"/>
        <w:ind w:left="1440"/>
        <w:jc w:val="both"/>
        <w:rPr>
          <w:sz w:val="26"/>
          <w:szCs w:val="26"/>
        </w:rPr>
      </w:pPr>
      <w:r>
        <w:rPr>
          <w:spacing w:val="6"/>
          <w:sz w:val="26"/>
          <w:szCs w:val="26"/>
        </w:rPr>
        <w:t xml:space="preserve">3º.- En </w:t>
      </w:r>
      <w:hyperlink r:id="rId83" w:history="1">
        <w:r w:rsidRPr="00F419A1">
          <w:rPr>
            <w:rStyle w:val="Hipervnculo"/>
            <w:rFonts w:ascii="Segoe UI" w:hAnsi="Segoe UI" w:cs="Segoe UI"/>
            <w:sz w:val="18"/>
            <w:szCs w:val="18"/>
            <w:lang w:val="es-ES"/>
          </w:rPr>
          <w:t>https://sede.tributasenasturias.es/sede/Servicios/Programa+de+Ayudas</w:t>
        </w:r>
      </w:hyperlink>
      <w:r>
        <w:t xml:space="preserve"> </w:t>
      </w:r>
      <w:r w:rsidRPr="00F419A1">
        <w:rPr>
          <w:sz w:val="26"/>
          <w:szCs w:val="26"/>
        </w:rPr>
        <w:t>(con la firma del notario)</w:t>
      </w:r>
      <w:r>
        <w:rPr>
          <w:sz w:val="26"/>
          <w:szCs w:val="26"/>
        </w:rPr>
        <w:t xml:space="preserve"> descargarse el certificado de presentación (que es el que se incorpora a la escritura).</w:t>
      </w:r>
    </w:p>
    <w:p w14:paraId="5F68058D" w14:textId="77777777" w:rsidR="007F6D0F" w:rsidRDefault="00F419A1">
      <w:pPr>
        <w:spacing w:line="280" w:lineRule="atLeast"/>
        <w:ind w:left="1440"/>
        <w:jc w:val="both"/>
        <w:rPr>
          <w:sz w:val="26"/>
          <w:szCs w:val="26"/>
        </w:rPr>
      </w:pPr>
      <w:r>
        <w:rPr>
          <w:sz w:val="26"/>
          <w:szCs w:val="26"/>
        </w:rPr>
        <w:t xml:space="preserve">4º.- Remitir a </w:t>
      </w:r>
      <w:hyperlink r:id="rId84" w:history="1">
        <w:r w:rsidRPr="00CB3F0C">
          <w:rPr>
            <w:rStyle w:val="Hipervnculo"/>
            <w:sz w:val="26"/>
            <w:szCs w:val="26"/>
          </w:rPr>
          <w:t>sucesiones@tributas.es</w:t>
        </w:r>
      </w:hyperlink>
      <w:r>
        <w:rPr>
          <w:sz w:val="26"/>
          <w:szCs w:val="26"/>
        </w:rPr>
        <w:t xml:space="preserve"> copia simple electrónica y el modelo 653</w:t>
      </w:r>
      <w:r w:rsidR="007F6D0F">
        <w:rPr>
          <w:sz w:val="26"/>
          <w:szCs w:val="26"/>
        </w:rPr>
        <w:t>.</w:t>
      </w:r>
    </w:p>
    <w:p w14:paraId="34A9E550" w14:textId="77777777" w:rsidR="00F419A1" w:rsidRDefault="000A1BBA">
      <w:pPr>
        <w:spacing w:line="280" w:lineRule="atLeast"/>
        <w:ind w:left="1440"/>
        <w:jc w:val="both"/>
        <w:rPr>
          <w:sz w:val="26"/>
          <w:szCs w:val="26"/>
          <w:lang w:val="es-ES"/>
        </w:rPr>
      </w:pPr>
      <w:r>
        <w:rPr>
          <w:sz w:val="26"/>
          <w:szCs w:val="26"/>
        </w:rPr>
        <w:t xml:space="preserve">No obstante, </w:t>
      </w:r>
      <w:r w:rsidR="002A3E68">
        <w:rPr>
          <w:sz w:val="26"/>
          <w:szCs w:val="26"/>
        </w:rPr>
        <w:t>hemos recibido</w:t>
      </w:r>
      <w:r>
        <w:rPr>
          <w:sz w:val="26"/>
          <w:szCs w:val="26"/>
        </w:rPr>
        <w:t xml:space="preserve"> dos</w:t>
      </w:r>
      <w:r w:rsidR="002A3E68">
        <w:rPr>
          <w:sz w:val="26"/>
          <w:szCs w:val="26"/>
        </w:rPr>
        <w:t xml:space="preserve"> aviso</w:t>
      </w:r>
      <w:r>
        <w:rPr>
          <w:sz w:val="26"/>
          <w:szCs w:val="26"/>
        </w:rPr>
        <w:t xml:space="preserve">s posteriores; </w:t>
      </w:r>
      <w:r w:rsidR="002A3E68">
        <w:rPr>
          <w:sz w:val="26"/>
          <w:szCs w:val="26"/>
        </w:rPr>
        <w:t>sólo la copia simple electr</w:t>
      </w:r>
      <w:r>
        <w:rPr>
          <w:sz w:val="26"/>
          <w:szCs w:val="26"/>
        </w:rPr>
        <w:t>ónica</w:t>
      </w:r>
      <w:r w:rsidRPr="000A1BBA">
        <w:rPr>
          <w:rStyle w:val="Refdenotaalfinal"/>
          <w:b/>
          <w:sz w:val="26"/>
          <w:szCs w:val="26"/>
        </w:rPr>
        <w:endnoteReference w:id="8"/>
      </w:r>
      <w:r>
        <w:rPr>
          <w:sz w:val="26"/>
          <w:szCs w:val="26"/>
        </w:rPr>
        <w:t xml:space="preserve"> (16/10/2020) y</w:t>
      </w:r>
      <w:r w:rsidR="007F6D0F">
        <w:rPr>
          <w:sz w:val="26"/>
          <w:szCs w:val="26"/>
        </w:rPr>
        <w:t xml:space="preserve"> que a partir del 25/09/2020 (pero es un email generado automáticamente) “</w:t>
      </w:r>
      <w:r w:rsidR="007F6D0F" w:rsidRPr="007F6D0F">
        <w:rPr>
          <w:i/>
          <w:sz w:val="26"/>
          <w:szCs w:val="26"/>
        </w:rPr>
        <w:t xml:space="preserve">... </w:t>
      </w:r>
      <w:r w:rsidRPr="007F6D0F">
        <w:rPr>
          <w:i/>
          <w:sz w:val="26"/>
          <w:szCs w:val="26"/>
          <w:lang w:val="es-ES"/>
        </w:rPr>
        <w:t>la aportación de documentación al expediente generado tras la presentación telemática de los modelos tributarios relativos a ISyD e ITPyAJD, mediante la utilización del programa de ayuda ASPA, deberá realizarse a través</w:t>
      </w:r>
      <w:r w:rsidR="007F6D0F">
        <w:rPr>
          <w:sz w:val="26"/>
          <w:szCs w:val="26"/>
          <w:lang w:val="es-ES"/>
        </w:rPr>
        <w:t xml:space="preserve"> [en la sede electrónica </w:t>
      </w:r>
      <w:hyperlink r:id="rId85" w:history="1">
        <w:r w:rsidR="007F6D0F" w:rsidRPr="00A65A63">
          <w:rPr>
            <w:rStyle w:val="Hipervnculo"/>
            <w:sz w:val="26"/>
            <w:szCs w:val="26"/>
            <w:lang w:val="es-ES"/>
          </w:rPr>
          <w:t>https://sede.tributasenasturias.es/sede/Servicios/AgregarDocumentacion</w:t>
        </w:r>
      </w:hyperlink>
      <w:r w:rsidR="007F6D0F">
        <w:rPr>
          <w:sz w:val="26"/>
          <w:szCs w:val="26"/>
          <w:lang w:val="es-ES"/>
        </w:rPr>
        <w:t xml:space="preserve"> </w:t>
      </w:r>
      <w:r w:rsidRPr="007F6D0F">
        <w:rPr>
          <w:i/>
          <w:sz w:val="26"/>
          <w:szCs w:val="26"/>
          <w:lang w:val="es-ES"/>
        </w:rPr>
        <w:t xml:space="preserve">de la opción 'Presentación telemática' del menú 'Servicios', </w:t>
      </w:r>
      <w:r w:rsidRPr="007F6D0F">
        <w:rPr>
          <w:i/>
          <w:sz w:val="26"/>
          <w:szCs w:val="26"/>
          <w:lang w:val="es-ES"/>
        </w:rPr>
        <w:lastRenderedPageBreak/>
        <w:t>seleccionando el Tipo de Solicitud 'Aportar documentación al expediente'.</w:t>
      </w:r>
      <w:r w:rsidR="007F6D0F" w:rsidRPr="007F6D0F">
        <w:rPr>
          <w:i/>
          <w:sz w:val="26"/>
          <w:szCs w:val="26"/>
          <w:lang w:val="es-ES"/>
        </w:rPr>
        <w:t>..</w:t>
      </w:r>
      <w:r w:rsidR="007F6D0F">
        <w:rPr>
          <w:sz w:val="26"/>
          <w:szCs w:val="26"/>
          <w:lang w:val="es-ES"/>
        </w:rPr>
        <w:t>”.</w:t>
      </w:r>
      <w:r w:rsidRPr="000A1BBA">
        <w:rPr>
          <w:sz w:val="26"/>
          <w:szCs w:val="26"/>
          <w:lang w:val="es-ES"/>
        </w:rPr>
        <w:br/>
        <w:t>Deberá indicarse el número de expediente generado tras la presentación del modelo tributario, que consta en el justificante de comparecencia.</w:t>
      </w:r>
    </w:p>
    <w:p w14:paraId="74CF07E6" w14:textId="77777777" w:rsidR="00EE1145" w:rsidRDefault="00EE1145" w:rsidP="00C854F8">
      <w:pPr>
        <w:numPr>
          <w:ilvl w:val="2"/>
          <w:numId w:val="15"/>
        </w:numPr>
        <w:spacing w:line="280" w:lineRule="atLeast"/>
        <w:jc w:val="both"/>
        <w:rPr>
          <w:b/>
          <w:color w:val="000000"/>
          <w:spacing w:val="6"/>
          <w:sz w:val="22"/>
          <w:szCs w:val="22"/>
        </w:rPr>
      </w:pPr>
      <w:bookmarkStart w:id="27" w:name="A4c"/>
      <w:bookmarkStart w:id="28" w:name="A3c"/>
      <w:bookmarkStart w:id="29" w:name="Información"/>
      <w:bookmarkEnd w:id="27"/>
      <w:bookmarkEnd w:id="28"/>
      <w:bookmarkEnd w:id="29"/>
      <w:r>
        <w:rPr>
          <w:b/>
          <w:color w:val="000000"/>
          <w:spacing w:val="6"/>
          <w:sz w:val="26"/>
          <w:szCs w:val="26"/>
        </w:rPr>
        <w:t>Información</w:t>
      </w:r>
    </w:p>
    <w:p w14:paraId="456EFA97" w14:textId="77777777" w:rsidR="00EE1145" w:rsidRDefault="00EE1145">
      <w:pPr>
        <w:spacing w:line="280" w:lineRule="atLeast"/>
        <w:ind w:left="1440"/>
        <w:jc w:val="both"/>
        <w:rPr>
          <w:rFonts w:ascii="Times New Roman" w:hAnsi="Times New Roman"/>
          <w:sz w:val="26"/>
          <w:szCs w:val="26"/>
          <w:lang w:val="es-ES"/>
        </w:rPr>
      </w:pPr>
      <w:r>
        <w:rPr>
          <w:rFonts w:ascii="Times New Roman" w:hAnsi="Times New Roman"/>
          <w:sz w:val="26"/>
          <w:szCs w:val="26"/>
          <w:lang w:val="es-ES"/>
        </w:rPr>
        <w:t xml:space="preserve">Como específicas obligaciones notariales de información fiscal a Los Servicios Tributarios del Principado de Asturias, consagradas hoy en el </w:t>
      </w:r>
      <w:hyperlink r:id="rId86" w:anchor="a52" w:history="1">
        <w:r>
          <w:rPr>
            <w:rStyle w:val="Hipervnculo"/>
            <w:rFonts w:ascii="Times New Roman" w:hAnsi="Times New Roman"/>
            <w:sz w:val="26"/>
            <w:szCs w:val="26"/>
            <w:lang w:val="es-ES"/>
          </w:rPr>
          <w:t>art. 52-2 del Decreto-legislativo asturiano 2/2014</w:t>
        </w:r>
      </w:hyperlink>
      <w:r>
        <w:rPr>
          <w:rStyle w:val="Refdenotaalfinal"/>
          <w:rFonts w:ascii="Times New Roman" w:hAnsi="Times New Roman"/>
          <w:b/>
          <w:sz w:val="28"/>
          <w:szCs w:val="28"/>
          <w:lang w:val="es-ES"/>
        </w:rPr>
        <w:endnoteReference w:id="9"/>
      </w:r>
      <w:r>
        <w:rPr>
          <w:rFonts w:ascii="Times New Roman" w:hAnsi="Times New Roman"/>
          <w:sz w:val="26"/>
          <w:szCs w:val="26"/>
          <w:lang w:val="es-ES"/>
        </w:rPr>
        <w:t>, tenemos:</w:t>
      </w:r>
    </w:p>
    <w:p w14:paraId="0D9A991D" w14:textId="11690FF9" w:rsidR="00B11604" w:rsidRDefault="009526B0" w:rsidP="00C854F8">
      <w:pPr>
        <w:numPr>
          <w:ilvl w:val="0"/>
          <w:numId w:val="9"/>
        </w:numPr>
        <w:tabs>
          <w:tab w:val="clear" w:pos="1440"/>
          <w:tab w:val="num" w:pos="716"/>
        </w:tabs>
        <w:spacing w:line="280" w:lineRule="atLeast"/>
        <w:ind w:left="1648"/>
        <w:jc w:val="both"/>
        <w:rPr>
          <w:rFonts w:ascii="Times New Roman" w:hAnsi="Times New Roman"/>
          <w:sz w:val="26"/>
          <w:szCs w:val="26"/>
          <w:lang w:val="es-ES"/>
        </w:rPr>
      </w:pPr>
      <w:r>
        <w:rPr>
          <w:rFonts w:ascii="Times New Roman" w:hAnsi="Times New Roman"/>
          <w:sz w:val="26"/>
          <w:szCs w:val="26"/>
          <w:u w:val="single"/>
          <w:lang w:val="es-ES"/>
        </w:rPr>
        <w:t>Ficha Notarial</w:t>
      </w:r>
      <w:r>
        <w:rPr>
          <w:rFonts w:ascii="Times New Roman" w:hAnsi="Times New Roman"/>
          <w:sz w:val="26"/>
          <w:szCs w:val="26"/>
          <w:lang w:val="es-ES"/>
        </w:rPr>
        <w:t>: El 9 de febrero de 2026 se recibe desde el Centro Tecnológico del Notariado un email diciendo que el sistema pasa a ser el de Ficha Notarial</w:t>
      </w:r>
      <w:r w:rsidR="00210DF3" w:rsidRPr="00B11604">
        <w:rPr>
          <w:rStyle w:val="Refdenotaalfinal"/>
          <w:rFonts w:ascii="Times New Roman" w:hAnsi="Times New Roman"/>
          <w:b/>
          <w:sz w:val="26"/>
          <w:szCs w:val="26"/>
          <w:lang w:val="es-ES"/>
        </w:rPr>
        <w:endnoteReference w:id="10"/>
      </w:r>
      <w:r w:rsidR="00B11604">
        <w:rPr>
          <w:rFonts w:ascii="Times New Roman" w:hAnsi="Times New Roman"/>
          <w:sz w:val="26"/>
          <w:szCs w:val="26"/>
          <w:lang w:val="es-ES"/>
        </w:rPr>
        <w:t>. Supone la</w:t>
      </w:r>
      <w:r w:rsidR="00B11604" w:rsidRPr="009526B0">
        <w:rPr>
          <w:rFonts w:ascii="Times New Roman" w:hAnsi="Times New Roman"/>
          <w:sz w:val="26"/>
          <w:szCs w:val="26"/>
          <w:lang w:val="es-ES"/>
        </w:rPr>
        <w:t xml:space="preserve"> remisión por los notarios destinados en Asturias de </w:t>
      </w:r>
      <w:r w:rsidR="00B11604">
        <w:rPr>
          <w:rFonts w:ascii="Times New Roman" w:hAnsi="Times New Roman"/>
          <w:sz w:val="26"/>
          <w:szCs w:val="26"/>
          <w:lang w:val="es-ES"/>
        </w:rPr>
        <w:t>una ficha fiscal</w:t>
      </w:r>
      <w:r w:rsidR="00B11604" w:rsidRPr="009526B0">
        <w:rPr>
          <w:rFonts w:ascii="Times New Roman" w:hAnsi="Times New Roman"/>
          <w:sz w:val="26"/>
          <w:szCs w:val="26"/>
          <w:lang w:val="es-ES"/>
        </w:rPr>
        <w:t xml:space="preserve"> de las escrituras con trascendencia en el ITPOyAJD y en el ISyD</w:t>
      </w:r>
      <w:r w:rsidR="00B11604">
        <w:rPr>
          <w:rFonts w:ascii="Times New Roman" w:hAnsi="Times New Roman"/>
          <w:sz w:val="26"/>
          <w:szCs w:val="26"/>
          <w:lang w:val="es-ES"/>
        </w:rPr>
        <w:t>.</w:t>
      </w:r>
      <w:r w:rsidR="00B11604" w:rsidRPr="009526B0">
        <w:rPr>
          <w:rFonts w:ascii="Times New Roman" w:hAnsi="Times New Roman"/>
          <w:sz w:val="26"/>
          <w:szCs w:val="26"/>
          <w:lang w:val="es-ES"/>
        </w:rPr>
        <w:t xml:space="preserve"> </w:t>
      </w:r>
      <w:r w:rsidR="00A95DBC">
        <w:rPr>
          <w:rFonts w:ascii="Times New Roman" w:hAnsi="Times New Roman"/>
          <w:sz w:val="26"/>
          <w:szCs w:val="26"/>
          <w:lang w:val="es-ES"/>
        </w:rPr>
        <w:t>Pero nada se dice de que exima del envío de la copia simple.</w:t>
      </w:r>
    </w:p>
    <w:p w14:paraId="659854F0" w14:textId="74969E9F" w:rsidR="009526B0" w:rsidRPr="009526B0" w:rsidRDefault="00B11604" w:rsidP="00B11604">
      <w:pPr>
        <w:spacing w:line="280" w:lineRule="atLeast"/>
        <w:ind w:left="1648"/>
        <w:jc w:val="both"/>
        <w:rPr>
          <w:rFonts w:ascii="Times New Roman" w:hAnsi="Times New Roman"/>
          <w:sz w:val="26"/>
          <w:szCs w:val="26"/>
          <w:lang w:val="es-ES"/>
        </w:rPr>
      </w:pPr>
      <w:r w:rsidRPr="009526B0">
        <w:rPr>
          <w:rFonts w:ascii="Times New Roman" w:hAnsi="Times New Roman"/>
          <w:sz w:val="26"/>
          <w:szCs w:val="26"/>
          <w:lang w:val="es-ES"/>
        </w:rPr>
        <w:t>Dicha obligación se cumple automáticamente al cotejar el documento correspondiente en el Índice Único</w:t>
      </w:r>
      <w:r>
        <w:rPr>
          <w:rFonts w:ascii="Times New Roman" w:hAnsi="Times New Roman"/>
          <w:sz w:val="26"/>
          <w:szCs w:val="26"/>
          <w:lang w:val="es-ES"/>
        </w:rPr>
        <w:t>. Tiene el valor de testimonio notarial (Resolución DGSJFP de 3 de enero de 2023) y</w:t>
      </w:r>
      <w:r w:rsidR="00A95DBC">
        <w:rPr>
          <w:rFonts w:ascii="Times New Roman" w:hAnsi="Times New Roman"/>
          <w:sz w:val="26"/>
          <w:szCs w:val="26"/>
          <w:lang w:val="es-ES"/>
        </w:rPr>
        <w:t xml:space="preserve"> CTN repercute al notario 1,5 € más IVA.</w:t>
      </w:r>
    </w:p>
    <w:p w14:paraId="4D904C65" w14:textId="712D27D2" w:rsidR="00EE1145" w:rsidRPr="00B11604" w:rsidRDefault="009526B0" w:rsidP="00B11604">
      <w:pPr>
        <w:spacing w:line="220" w:lineRule="atLeast"/>
        <w:ind w:left="1650"/>
        <w:jc w:val="both"/>
        <w:rPr>
          <w:rFonts w:ascii="Times New Roman" w:hAnsi="Times New Roman"/>
          <w:sz w:val="22"/>
          <w:szCs w:val="22"/>
          <w:lang w:val="es-ES"/>
        </w:rPr>
      </w:pPr>
      <w:bookmarkStart w:id="30" w:name="_Hlk222910669"/>
      <w:r w:rsidRPr="00B11604">
        <w:rPr>
          <w:rFonts w:ascii="Times New Roman" w:hAnsi="Times New Roman"/>
          <w:sz w:val="22"/>
          <w:szCs w:val="22"/>
          <w:lang w:val="es-ES"/>
        </w:rPr>
        <w:t xml:space="preserve">Hasta el 9 de febrero de 2026, </w:t>
      </w:r>
      <w:r w:rsidR="00EE1145" w:rsidRPr="00B11604">
        <w:rPr>
          <w:rFonts w:ascii="Times New Roman" w:hAnsi="Times New Roman"/>
          <w:sz w:val="22"/>
          <w:szCs w:val="22"/>
          <w:lang w:val="es-ES"/>
        </w:rPr>
        <w:t>Ficha Resumen</w:t>
      </w:r>
      <w:bookmarkEnd w:id="30"/>
      <w:r w:rsidR="00EE1145" w:rsidRPr="00B11604">
        <w:rPr>
          <w:rFonts w:ascii="Times New Roman" w:hAnsi="Times New Roman"/>
          <w:sz w:val="22"/>
          <w:szCs w:val="22"/>
          <w:lang w:val="es-ES"/>
        </w:rPr>
        <w:t xml:space="preserve">: </w:t>
      </w:r>
      <w:bookmarkStart w:id="31" w:name="_Hlk222911450"/>
      <w:r w:rsidR="00EE1145" w:rsidRPr="00B11604">
        <w:rPr>
          <w:rFonts w:ascii="Times New Roman" w:hAnsi="Times New Roman"/>
          <w:sz w:val="22"/>
          <w:szCs w:val="22"/>
          <w:lang w:val="es-ES"/>
        </w:rPr>
        <w:t>La remisión en el plazo de 10 días naturales</w:t>
      </w:r>
      <w:r w:rsidR="00EE1145" w:rsidRPr="00B11604">
        <w:rPr>
          <w:rStyle w:val="Refdenotaalfinal"/>
          <w:rFonts w:ascii="Times New Roman" w:hAnsi="Times New Roman"/>
          <w:b/>
          <w:sz w:val="22"/>
          <w:szCs w:val="22"/>
          <w:lang w:val="es-ES"/>
        </w:rPr>
        <w:endnoteReference w:id="11"/>
      </w:r>
      <w:r w:rsidR="00EE1145" w:rsidRPr="00B11604">
        <w:rPr>
          <w:rFonts w:ascii="Times New Roman" w:hAnsi="Times New Roman"/>
          <w:sz w:val="22"/>
          <w:szCs w:val="22"/>
          <w:lang w:val="es-ES"/>
        </w:rPr>
        <w:t xml:space="preserve"> por los notarios destinados en Asturias de la ficha resumen de las escrituras con trascendencia en el IT</w:t>
      </w:r>
      <w:r w:rsidR="00737B6A" w:rsidRPr="00B11604">
        <w:rPr>
          <w:rFonts w:ascii="Times New Roman" w:hAnsi="Times New Roman"/>
          <w:sz w:val="22"/>
          <w:szCs w:val="22"/>
          <w:lang w:val="es-ES"/>
        </w:rPr>
        <w:t>P</w:t>
      </w:r>
      <w:r w:rsidR="00EE1145" w:rsidRPr="00B11604">
        <w:rPr>
          <w:rFonts w:ascii="Times New Roman" w:hAnsi="Times New Roman"/>
          <w:sz w:val="22"/>
          <w:szCs w:val="22"/>
          <w:lang w:val="es-ES"/>
        </w:rPr>
        <w:t>OyAJD y en el ISyD</w:t>
      </w:r>
      <w:bookmarkEnd w:id="31"/>
      <w:r w:rsidR="00EE1145" w:rsidRPr="00B11604">
        <w:rPr>
          <w:rFonts w:ascii="Times New Roman" w:hAnsi="Times New Roman"/>
          <w:sz w:val="22"/>
          <w:szCs w:val="22"/>
          <w:lang w:val="es-ES"/>
        </w:rPr>
        <w:t>. Dicha obligación se cumple automáticamente al cotejar el documento correspondiente en el Índice Único.</w:t>
      </w:r>
    </w:p>
    <w:p w14:paraId="33CF9ADB" w14:textId="77777777" w:rsidR="00EE1145" w:rsidRDefault="00EE1145" w:rsidP="00C854F8">
      <w:pPr>
        <w:numPr>
          <w:ilvl w:val="0"/>
          <w:numId w:val="9"/>
        </w:numPr>
        <w:tabs>
          <w:tab w:val="clear" w:pos="1440"/>
          <w:tab w:val="num" w:pos="716"/>
        </w:tabs>
        <w:spacing w:line="280" w:lineRule="atLeast"/>
        <w:ind w:left="1648"/>
        <w:jc w:val="both"/>
        <w:rPr>
          <w:rFonts w:ascii="Times New Roman" w:hAnsi="Times New Roman"/>
          <w:sz w:val="26"/>
          <w:szCs w:val="26"/>
          <w:lang w:val="es-ES"/>
        </w:rPr>
      </w:pPr>
      <w:r>
        <w:rPr>
          <w:rFonts w:ascii="Times New Roman" w:hAnsi="Times New Roman"/>
          <w:sz w:val="26"/>
          <w:szCs w:val="26"/>
          <w:u w:val="single"/>
          <w:lang w:val="es-ES"/>
        </w:rPr>
        <w:t>Copia simple electrónica</w:t>
      </w:r>
      <w:r>
        <w:rPr>
          <w:rStyle w:val="Refdenotaalfinal"/>
          <w:rFonts w:ascii="Times New Roman" w:hAnsi="Times New Roman"/>
          <w:b/>
          <w:sz w:val="28"/>
          <w:szCs w:val="28"/>
          <w:lang w:val="es-ES"/>
        </w:rPr>
        <w:endnoteReference w:id="12"/>
      </w:r>
      <w:r>
        <w:rPr>
          <w:rFonts w:ascii="Times New Roman" w:hAnsi="Times New Roman"/>
          <w:sz w:val="26"/>
          <w:szCs w:val="26"/>
          <w:lang w:val="es-ES"/>
        </w:rPr>
        <w:t>: La remisión en el plazo de 5 días hábiles por los notarios destinados en Asturias de copia simple electrónica de las escrituras con trascendencia en el IT</w:t>
      </w:r>
      <w:r w:rsidR="00737B6A">
        <w:rPr>
          <w:rFonts w:ascii="Times New Roman" w:hAnsi="Times New Roman"/>
          <w:sz w:val="26"/>
          <w:szCs w:val="26"/>
          <w:lang w:val="es-ES"/>
        </w:rPr>
        <w:t>P</w:t>
      </w:r>
      <w:r>
        <w:rPr>
          <w:rFonts w:ascii="Times New Roman" w:hAnsi="Times New Roman"/>
          <w:sz w:val="26"/>
          <w:szCs w:val="26"/>
          <w:lang w:val="es-ES"/>
        </w:rPr>
        <w:t>OyAJD y en el ISyD. Dicha obligación se cumple a través de la aplicación general de envío de copias electrónicas a través de la plataforma SIGNO.</w:t>
      </w:r>
      <w:r>
        <w:rPr>
          <w:rFonts w:ascii="Times New Roman" w:hAnsi="Times New Roman"/>
          <w:sz w:val="26"/>
          <w:szCs w:val="26"/>
          <w:lang w:val="es-ES"/>
        </w:rPr>
        <w:br/>
        <w:t xml:space="preserve">Desarrolla esta materia el </w:t>
      </w:r>
      <w:hyperlink r:id="rId87" w:history="1">
        <w:r>
          <w:rPr>
            <w:rStyle w:val="Hipervnculo"/>
            <w:rFonts w:ascii="Times New Roman" w:hAnsi="Times New Roman"/>
            <w:iCs/>
            <w:sz w:val="26"/>
            <w:szCs w:val="26"/>
            <w:lang w:val="es-ES"/>
          </w:rPr>
          <w:t>Convenio de Colaboración de 28 de julio de 2010 entre el Ente Público de Servicios Tributarios del Principado de As</w:t>
        </w:r>
        <w:r>
          <w:rPr>
            <w:rStyle w:val="Hipervnculo"/>
            <w:rFonts w:ascii="Times New Roman" w:hAnsi="Times New Roman"/>
            <w:iCs/>
            <w:sz w:val="26"/>
            <w:szCs w:val="26"/>
            <w:lang w:val="es-ES"/>
          </w:rPr>
          <w:softHyphen/>
          <w:t>turias, el Consejo General del Notariado y el Colegio Notarial de Asturias para la aplicación de las nuevas tecnologías en la gestión tributaria</w:t>
        </w:r>
      </w:hyperlink>
      <w:r>
        <w:rPr>
          <w:rFonts w:ascii="Times New Roman" w:hAnsi="Times New Roman"/>
          <w:iCs/>
          <w:sz w:val="26"/>
          <w:szCs w:val="26"/>
          <w:lang w:val="es-ES"/>
        </w:rPr>
        <w:t xml:space="preserve"> (BOPA 9/11/2010).</w:t>
      </w:r>
    </w:p>
    <w:p w14:paraId="3E748712" w14:textId="77777777" w:rsidR="00EE1145" w:rsidRDefault="00EE1145">
      <w:pPr>
        <w:spacing w:line="280" w:lineRule="atLeast"/>
        <w:ind w:left="1648"/>
        <w:jc w:val="both"/>
        <w:rPr>
          <w:rFonts w:ascii="Times New Roman" w:hAnsi="Times New Roman"/>
          <w:sz w:val="26"/>
          <w:szCs w:val="26"/>
          <w:lang w:val="es-ES"/>
        </w:rPr>
      </w:pPr>
      <w:r>
        <w:rPr>
          <w:rFonts w:ascii="Times New Roman" w:hAnsi="Times New Roman"/>
          <w:sz w:val="26"/>
          <w:szCs w:val="26"/>
          <w:lang w:val="es-ES"/>
        </w:rPr>
        <w:t xml:space="preserve">Advertir que este </w:t>
      </w:r>
      <w:hyperlink r:id="rId88" w:history="1">
        <w:r>
          <w:rPr>
            <w:rStyle w:val="Hipervnculo"/>
            <w:rFonts w:ascii="Times New Roman" w:hAnsi="Times New Roman"/>
            <w:sz w:val="26"/>
            <w:szCs w:val="26"/>
            <w:lang w:val="es-ES"/>
          </w:rPr>
          <w:t>Convenio notarial para la gestión tributaria de 2010</w:t>
        </w:r>
      </w:hyperlink>
      <w:r>
        <w:rPr>
          <w:rFonts w:ascii="Times New Roman" w:hAnsi="Times New Roman"/>
          <w:sz w:val="26"/>
          <w:szCs w:val="26"/>
          <w:lang w:val="es-ES"/>
        </w:rPr>
        <w:t xml:space="preserve"> habla de que “</w:t>
      </w:r>
      <w:r>
        <w:rPr>
          <w:rFonts w:ascii="Times New Roman" w:hAnsi="Times New Roman"/>
          <w:i/>
          <w:sz w:val="26"/>
          <w:szCs w:val="26"/>
          <w:lang w:val="es-ES"/>
        </w:rPr>
        <w:t>… su ejecución se realizará gradualmente comenzando por el Impuesto sobre Transmisiones Patrimoniales y Actos Jurídicos Documentados…</w:t>
      </w:r>
      <w:r>
        <w:rPr>
          <w:rFonts w:ascii="Times New Roman" w:hAnsi="Times New Roman"/>
          <w:sz w:val="26"/>
          <w:szCs w:val="26"/>
          <w:lang w:val="es-ES"/>
        </w:rPr>
        <w:t>”.</w:t>
      </w:r>
      <w:r w:rsidR="009578E5">
        <w:rPr>
          <w:rFonts w:ascii="Times New Roman" w:hAnsi="Times New Roman"/>
          <w:sz w:val="26"/>
          <w:szCs w:val="26"/>
          <w:lang w:val="es-ES"/>
        </w:rPr>
        <w:t xml:space="preserve"> No obstante, en la práctica, siempre piden después copia simple </w:t>
      </w:r>
      <w:r w:rsidR="00FA5867">
        <w:rPr>
          <w:rFonts w:ascii="Times New Roman" w:hAnsi="Times New Roman"/>
          <w:sz w:val="26"/>
          <w:szCs w:val="26"/>
          <w:lang w:val="es-ES"/>
        </w:rPr>
        <w:t>electrónica de las escrituras su</w:t>
      </w:r>
      <w:r w:rsidR="009578E5">
        <w:rPr>
          <w:rFonts w:ascii="Times New Roman" w:hAnsi="Times New Roman"/>
          <w:sz w:val="26"/>
          <w:szCs w:val="26"/>
          <w:lang w:val="es-ES"/>
        </w:rPr>
        <w:t>jetas al Impuesto sobre Sucesiones y Donaciones.</w:t>
      </w:r>
    </w:p>
    <w:p w14:paraId="176E8A45" w14:textId="77777777" w:rsidR="00EE1145" w:rsidRDefault="00EE1145" w:rsidP="00C854F8">
      <w:pPr>
        <w:numPr>
          <w:ilvl w:val="2"/>
          <w:numId w:val="15"/>
        </w:numPr>
        <w:spacing w:line="280" w:lineRule="atLeast"/>
        <w:jc w:val="both"/>
        <w:rPr>
          <w:b/>
          <w:color w:val="000000"/>
          <w:spacing w:val="6"/>
          <w:sz w:val="22"/>
          <w:szCs w:val="22"/>
        </w:rPr>
      </w:pPr>
      <w:bookmarkStart w:id="32" w:name="A4d"/>
      <w:bookmarkStart w:id="33" w:name="A3d"/>
      <w:bookmarkStart w:id="34" w:name="Tramitación"/>
      <w:bookmarkEnd w:id="32"/>
      <w:bookmarkEnd w:id="33"/>
      <w:bookmarkEnd w:id="34"/>
      <w:r>
        <w:rPr>
          <w:b/>
          <w:color w:val="000000"/>
          <w:spacing w:val="6"/>
          <w:sz w:val="26"/>
          <w:szCs w:val="26"/>
        </w:rPr>
        <w:t>Tramitación</w:t>
      </w:r>
    </w:p>
    <w:p w14:paraId="06BB2C8C" w14:textId="77777777" w:rsidR="00EE1145" w:rsidRDefault="00EE1145">
      <w:pPr>
        <w:spacing w:line="280" w:lineRule="atLeast"/>
        <w:ind w:left="1440"/>
        <w:jc w:val="both"/>
        <w:rPr>
          <w:rFonts w:ascii="Times New Roman" w:hAnsi="Times New Roman"/>
          <w:sz w:val="26"/>
          <w:szCs w:val="26"/>
          <w:lang w:val="es-ES"/>
        </w:rPr>
      </w:pPr>
      <w:r>
        <w:rPr>
          <w:rFonts w:ascii="Times New Roman" w:hAnsi="Times New Roman"/>
          <w:sz w:val="26"/>
          <w:szCs w:val="26"/>
          <w:lang w:val="es-ES"/>
        </w:rPr>
        <w:t xml:space="preserve">En relación al ITPyAJD, conforme a la </w:t>
      </w:r>
      <w:hyperlink r:id="rId89" w:history="1">
        <w:r>
          <w:rPr>
            <w:rStyle w:val="Hipervnculo"/>
            <w:rFonts w:ascii="Times New Roman" w:hAnsi="Times New Roman"/>
            <w:iCs/>
            <w:sz w:val="26"/>
            <w:szCs w:val="26"/>
            <w:lang w:val="es-ES"/>
          </w:rPr>
          <w:t xml:space="preserve">Resolución de 20 de mayo de 2010 de la </w:t>
        </w:r>
        <w:r>
          <w:rPr>
            <w:rStyle w:val="Hipervnculo"/>
            <w:rFonts w:ascii="Times New Roman" w:hAnsi="Times New Roman"/>
            <w:sz w:val="26"/>
            <w:szCs w:val="26"/>
            <w:lang w:val="es-ES"/>
          </w:rPr>
          <w:t>C</w:t>
        </w:r>
        <w:r>
          <w:rPr>
            <w:rStyle w:val="Hipervnculo"/>
            <w:rFonts w:ascii="Times New Roman" w:hAnsi="Times New Roman"/>
            <w:iCs/>
            <w:sz w:val="26"/>
            <w:szCs w:val="26"/>
            <w:lang w:val="es-ES"/>
          </w:rPr>
          <w:t xml:space="preserve">onsejería de </w:t>
        </w:r>
        <w:r>
          <w:rPr>
            <w:rStyle w:val="Hipervnculo"/>
            <w:rFonts w:ascii="Times New Roman" w:hAnsi="Times New Roman"/>
            <w:sz w:val="26"/>
            <w:szCs w:val="26"/>
            <w:lang w:val="es-ES"/>
          </w:rPr>
          <w:t>E</w:t>
        </w:r>
        <w:r>
          <w:rPr>
            <w:rStyle w:val="Hipervnculo"/>
            <w:rFonts w:ascii="Times New Roman" w:hAnsi="Times New Roman"/>
            <w:iCs/>
            <w:sz w:val="26"/>
            <w:szCs w:val="26"/>
            <w:lang w:val="es-ES"/>
          </w:rPr>
          <w:t>conomía y Hacienda</w:t>
        </w:r>
      </w:hyperlink>
      <w:r>
        <w:rPr>
          <w:rFonts w:ascii="Times New Roman" w:hAnsi="Times New Roman"/>
          <w:iCs/>
          <w:sz w:val="26"/>
          <w:szCs w:val="26"/>
          <w:lang w:val="es-ES"/>
        </w:rPr>
        <w:t xml:space="preserve"> y el </w:t>
      </w:r>
      <w:hyperlink r:id="rId90" w:history="1">
        <w:r>
          <w:rPr>
            <w:rStyle w:val="Hipervnculo"/>
            <w:rFonts w:ascii="Times New Roman" w:hAnsi="Times New Roman"/>
            <w:sz w:val="26"/>
            <w:szCs w:val="26"/>
            <w:lang w:val="es-ES"/>
          </w:rPr>
          <w:t>Convenio notarial para la gestión tributaria de 2010</w:t>
        </w:r>
      </w:hyperlink>
      <w:r>
        <w:rPr>
          <w:rFonts w:ascii="Times New Roman" w:hAnsi="Times New Roman"/>
          <w:sz w:val="26"/>
          <w:szCs w:val="26"/>
          <w:lang w:val="es-ES"/>
        </w:rPr>
        <w:t xml:space="preserve">, aunque la escritura no sea liquidada por el notario, el sistema está previsto también para que un tercero se encargue de tal liquidación telemática y, si así lo quiere, </w:t>
      </w:r>
      <w:r>
        <w:rPr>
          <w:rFonts w:ascii="Times New Roman" w:hAnsi="Times New Roman"/>
          <w:sz w:val="26"/>
          <w:szCs w:val="26"/>
          <w:lang w:val="es-ES"/>
        </w:rPr>
        <w:lastRenderedPageBreak/>
        <w:t>pueda seguirse la tramitación registral sin necesidad de recurrir al soporte papel, recibiendo entonces telemáticamente el notario, a través de la plataforma SIGNO, el justificante de presentación y reenviándolo al Registro correspondiente.</w:t>
      </w:r>
    </w:p>
    <w:p w14:paraId="55A8A22B" w14:textId="77777777" w:rsidR="00EE1145" w:rsidRDefault="00EE1145">
      <w:pPr>
        <w:spacing w:line="280" w:lineRule="atLeast"/>
        <w:ind w:left="1440"/>
        <w:jc w:val="both"/>
        <w:rPr>
          <w:rFonts w:ascii="Times New Roman" w:hAnsi="Times New Roman"/>
          <w:sz w:val="26"/>
          <w:szCs w:val="26"/>
          <w:lang w:val="es-ES"/>
        </w:rPr>
      </w:pPr>
      <w:r>
        <w:rPr>
          <w:rFonts w:ascii="Times New Roman" w:hAnsi="Times New Roman"/>
          <w:sz w:val="26"/>
          <w:szCs w:val="26"/>
          <w:lang w:val="es-ES"/>
        </w:rPr>
        <w:t>Para ello es necesario:</w:t>
      </w:r>
    </w:p>
    <w:p w14:paraId="41622503" w14:textId="77777777" w:rsidR="00EE1145" w:rsidRDefault="00EE1145">
      <w:pPr>
        <w:spacing w:line="280" w:lineRule="atLeast"/>
        <w:ind w:left="1440"/>
        <w:jc w:val="both"/>
        <w:rPr>
          <w:rFonts w:ascii="Times New Roman" w:hAnsi="Times New Roman"/>
          <w:sz w:val="26"/>
          <w:szCs w:val="26"/>
          <w:lang w:val="es-ES"/>
        </w:rPr>
      </w:pPr>
      <w:r>
        <w:rPr>
          <w:rFonts w:ascii="Times New Roman" w:hAnsi="Times New Roman"/>
          <w:sz w:val="26"/>
          <w:szCs w:val="26"/>
          <w:lang w:val="es-ES"/>
        </w:rPr>
        <w:t>- Que los interesados autoricen previamente al Notario</w:t>
      </w:r>
      <w:r>
        <w:rPr>
          <w:rStyle w:val="Refdenotaalfinal"/>
          <w:rFonts w:ascii="Times New Roman" w:hAnsi="Times New Roman"/>
          <w:b/>
          <w:sz w:val="28"/>
          <w:szCs w:val="28"/>
          <w:lang w:val="es-ES"/>
        </w:rPr>
        <w:endnoteReference w:id="13"/>
      </w:r>
      <w:r>
        <w:rPr>
          <w:rFonts w:ascii="Times New Roman" w:hAnsi="Times New Roman"/>
          <w:sz w:val="26"/>
          <w:szCs w:val="26"/>
          <w:lang w:val="es-ES"/>
        </w:rPr>
        <w:t>.</w:t>
      </w:r>
    </w:p>
    <w:p w14:paraId="6D32B250" w14:textId="77777777" w:rsidR="00EE1145" w:rsidRDefault="00EE1145" w:rsidP="000C321C">
      <w:pPr>
        <w:spacing w:after="60" w:line="280" w:lineRule="atLeast"/>
        <w:ind w:left="1440"/>
        <w:jc w:val="both"/>
        <w:rPr>
          <w:rFonts w:ascii="Times New Roman" w:hAnsi="Times New Roman"/>
          <w:sz w:val="26"/>
          <w:szCs w:val="26"/>
          <w:lang w:val="es-ES"/>
        </w:rPr>
      </w:pPr>
      <w:r>
        <w:rPr>
          <w:rFonts w:ascii="Times New Roman" w:hAnsi="Times New Roman"/>
          <w:sz w:val="26"/>
          <w:szCs w:val="26"/>
          <w:lang w:val="es-ES"/>
        </w:rPr>
        <w:t>- Que se active la opción de recepción en la plataforma SIGNO</w:t>
      </w:r>
      <w:r>
        <w:rPr>
          <w:rStyle w:val="Refdenotaalfinal"/>
          <w:rFonts w:ascii="Times New Roman" w:hAnsi="Times New Roman"/>
          <w:b/>
          <w:sz w:val="28"/>
          <w:szCs w:val="28"/>
          <w:lang w:val="es-ES"/>
        </w:rPr>
        <w:endnoteReference w:id="14"/>
      </w:r>
      <w:r>
        <w:rPr>
          <w:rFonts w:ascii="Times New Roman" w:hAnsi="Times New Roman"/>
          <w:sz w:val="26"/>
          <w:szCs w:val="26"/>
          <w:lang w:val="es-ES"/>
        </w:rPr>
        <w:t>.</w:t>
      </w:r>
    </w:p>
    <w:p w14:paraId="4CEF992E" w14:textId="77777777" w:rsidR="00EE1145" w:rsidRDefault="00EE1145" w:rsidP="00C854F8">
      <w:pPr>
        <w:numPr>
          <w:ilvl w:val="1"/>
          <w:numId w:val="15"/>
        </w:numPr>
        <w:spacing w:line="280" w:lineRule="atLeast"/>
        <w:jc w:val="both"/>
        <w:rPr>
          <w:b/>
          <w:spacing w:val="6"/>
          <w:sz w:val="22"/>
          <w:szCs w:val="22"/>
        </w:rPr>
      </w:pPr>
      <w:bookmarkStart w:id="35" w:name="Formayplazo"/>
      <w:bookmarkEnd w:id="35"/>
      <w:r>
        <w:rPr>
          <w:b/>
          <w:spacing w:val="6"/>
          <w:sz w:val="26"/>
          <w:szCs w:val="26"/>
        </w:rPr>
        <w:t>Forma y plazo de solicitud de los beneficios fiscales asturianos</w:t>
      </w:r>
    </w:p>
    <w:p w14:paraId="1ED445C4" w14:textId="77777777" w:rsidR="00EE1145" w:rsidRDefault="00EE1145">
      <w:pPr>
        <w:spacing w:line="280" w:lineRule="atLeast"/>
        <w:ind w:left="792"/>
        <w:jc w:val="both"/>
        <w:rPr>
          <w:spacing w:val="6"/>
          <w:sz w:val="26"/>
          <w:szCs w:val="26"/>
        </w:rPr>
      </w:pPr>
      <w:r>
        <w:rPr>
          <w:spacing w:val="6"/>
          <w:sz w:val="26"/>
          <w:szCs w:val="26"/>
        </w:rPr>
        <w:t>A diferencia de otras legislaciones autonómicas, no hay una específica norma que sancione la declaración extemporánea con la pérdida de los beneficios fiscales, sin perjuicio del cada vez más frecuente recurso a la sanción por incumplimiento de obligaciones formales</w:t>
      </w:r>
      <w:r>
        <w:rPr>
          <w:rStyle w:val="Refdenotaalfinal"/>
          <w:b/>
          <w:spacing w:val="6"/>
          <w:sz w:val="28"/>
          <w:szCs w:val="28"/>
        </w:rPr>
        <w:endnoteReference w:id="15"/>
      </w:r>
      <w:r>
        <w:rPr>
          <w:spacing w:val="6"/>
          <w:sz w:val="26"/>
          <w:szCs w:val="26"/>
        </w:rPr>
        <w:t xml:space="preserve"> y la tentación de la Administración de acogerse al régimen de la </w:t>
      </w:r>
      <w:r>
        <w:rPr>
          <w:spacing w:val="6"/>
          <w:sz w:val="26"/>
          <w:szCs w:val="26"/>
          <w:lang w:val="es-ES"/>
        </w:rPr>
        <w:t xml:space="preserve">opción del </w:t>
      </w:r>
      <w:hyperlink r:id="rId91" w:anchor="a119" w:history="1">
        <w:r>
          <w:rPr>
            <w:rStyle w:val="Hipervnculo"/>
            <w:spacing w:val="6"/>
            <w:sz w:val="26"/>
            <w:szCs w:val="26"/>
            <w:lang w:val="es-ES"/>
          </w:rPr>
          <w:t>art. 119-3 de la Ley General Tributaria</w:t>
        </w:r>
      </w:hyperlink>
      <w:r>
        <w:rPr>
          <w:spacing w:val="6"/>
          <w:sz w:val="26"/>
          <w:szCs w:val="26"/>
          <w:lang w:val="es-ES"/>
        </w:rPr>
        <w:t>.</w:t>
      </w:r>
    </w:p>
    <w:p w14:paraId="508531B1" w14:textId="77777777" w:rsidR="00EE1145" w:rsidRDefault="00EE1145">
      <w:pPr>
        <w:spacing w:line="280" w:lineRule="atLeast"/>
        <w:ind w:left="792"/>
        <w:jc w:val="both"/>
        <w:rPr>
          <w:spacing w:val="6"/>
          <w:sz w:val="26"/>
          <w:szCs w:val="26"/>
        </w:rPr>
      </w:pPr>
      <w:r>
        <w:rPr>
          <w:spacing w:val="6"/>
          <w:sz w:val="26"/>
          <w:szCs w:val="26"/>
        </w:rPr>
        <w:t>Por ello conviene tener siempre presente los criterios atemperadores que resultan de los siguientes pronunciamientos:</w:t>
      </w:r>
    </w:p>
    <w:p w14:paraId="20D023B3" w14:textId="77777777" w:rsidR="00EE1145" w:rsidRDefault="00EE1145" w:rsidP="00C854F8">
      <w:pPr>
        <w:numPr>
          <w:ilvl w:val="0"/>
          <w:numId w:val="13"/>
        </w:numPr>
        <w:tabs>
          <w:tab w:val="clear" w:pos="360"/>
          <w:tab w:val="num" w:pos="504"/>
        </w:tabs>
        <w:spacing w:line="280" w:lineRule="atLeast"/>
        <w:ind w:left="1152"/>
        <w:jc w:val="both"/>
        <w:rPr>
          <w:spacing w:val="6"/>
          <w:sz w:val="26"/>
          <w:szCs w:val="26"/>
        </w:rPr>
      </w:pPr>
      <w:r>
        <w:rPr>
          <w:spacing w:val="6"/>
          <w:sz w:val="26"/>
          <w:szCs w:val="26"/>
        </w:rPr>
        <w:t>La Sentencia del TSJ Andalucía de 30 de julio de 2013 (</w:t>
      </w:r>
      <w:proofErr w:type="spellStart"/>
      <w:r>
        <w:rPr>
          <w:spacing w:val="6"/>
          <w:sz w:val="26"/>
          <w:szCs w:val="26"/>
        </w:rPr>
        <w:t>BITplus</w:t>
      </w:r>
      <w:proofErr w:type="spellEnd"/>
      <w:r>
        <w:rPr>
          <w:spacing w:val="6"/>
          <w:sz w:val="26"/>
          <w:szCs w:val="26"/>
        </w:rPr>
        <w:t xml:space="preserve"> 174) admitió la mera invocación del precepto a los efectos de la aplicación del tipo reducido… pero que tal cuestión tenga que dilucidarse judicialmente hace aconsejable la declaración expresa sobre los requisitos para acogerse al beneficio fiscal.</w:t>
      </w:r>
    </w:p>
    <w:p w14:paraId="6BF6600B" w14:textId="77777777" w:rsidR="00EE1145" w:rsidRDefault="00EE1145" w:rsidP="00C854F8">
      <w:pPr>
        <w:numPr>
          <w:ilvl w:val="0"/>
          <w:numId w:val="13"/>
        </w:numPr>
        <w:tabs>
          <w:tab w:val="clear" w:pos="360"/>
          <w:tab w:val="num" w:pos="504"/>
        </w:tabs>
        <w:spacing w:line="280" w:lineRule="atLeast"/>
        <w:ind w:left="1152"/>
        <w:jc w:val="both"/>
        <w:rPr>
          <w:b/>
          <w:spacing w:val="6"/>
          <w:sz w:val="26"/>
          <w:szCs w:val="26"/>
        </w:rPr>
      </w:pPr>
      <w:r>
        <w:rPr>
          <w:spacing w:val="6"/>
          <w:sz w:val="26"/>
          <w:szCs w:val="26"/>
          <w:lang w:val="es-ES"/>
        </w:rPr>
        <w:t xml:space="preserve">La </w:t>
      </w:r>
      <w:hyperlink r:id="rId92" w:history="1">
        <w:r>
          <w:rPr>
            <w:rStyle w:val="Hipervnculo"/>
            <w:spacing w:val="6"/>
            <w:sz w:val="26"/>
            <w:szCs w:val="26"/>
            <w:lang w:val="es-ES"/>
          </w:rPr>
          <w:t>Resolución TEAR Andalucía de 4 de abril 2013</w:t>
        </w:r>
      </w:hyperlink>
      <w:r>
        <w:rPr>
          <w:spacing w:val="6"/>
          <w:sz w:val="26"/>
          <w:szCs w:val="26"/>
          <w:lang w:val="es-ES"/>
        </w:rPr>
        <w:t>, ha declarado que la mera falta de presentación en plazo de documentos exentos de impuestos no supone, por sí solo, culpabilidad sancionable</w:t>
      </w:r>
      <w:r>
        <w:rPr>
          <w:rStyle w:val="Refdenotaalfinal"/>
          <w:b/>
          <w:spacing w:val="6"/>
          <w:sz w:val="28"/>
          <w:szCs w:val="28"/>
          <w:lang w:val="es-ES"/>
        </w:rPr>
        <w:endnoteReference w:id="16"/>
      </w:r>
      <w:r>
        <w:rPr>
          <w:spacing w:val="6"/>
          <w:sz w:val="26"/>
          <w:szCs w:val="26"/>
          <w:lang w:val="es-ES"/>
        </w:rPr>
        <w:t>.</w:t>
      </w:r>
    </w:p>
    <w:p w14:paraId="65CF73EA" w14:textId="77777777" w:rsidR="00EE1145" w:rsidRDefault="00EE1145" w:rsidP="00C854F8">
      <w:pPr>
        <w:numPr>
          <w:ilvl w:val="0"/>
          <w:numId w:val="16"/>
        </w:numPr>
        <w:spacing w:line="280" w:lineRule="atLeast"/>
        <w:jc w:val="both"/>
        <w:rPr>
          <w:spacing w:val="6"/>
          <w:sz w:val="26"/>
          <w:szCs w:val="26"/>
        </w:rPr>
      </w:pPr>
      <w:r>
        <w:rPr>
          <w:spacing w:val="6"/>
          <w:sz w:val="26"/>
          <w:szCs w:val="26"/>
        </w:rPr>
        <w:t xml:space="preserve">Según la Sentencia del TSJ Galicia de 30 de enero de 2013, es aplicable retroactivamente </w:t>
      </w:r>
      <w:r>
        <w:rPr>
          <w:spacing w:val="6"/>
          <w:sz w:val="26"/>
          <w:szCs w:val="26"/>
          <w:lang w:val="es-ES"/>
        </w:rPr>
        <w:t>la reducción correspondiente al nuevo grado de minusvalía, con la consiguiente devolución de ingresos indebidos, si la patología concurrente se hallaba ya presente a la fecha del devengo del tributo.</w:t>
      </w:r>
    </w:p>
    <w:p w14:paraId="629EC3D4" w14:textId="77777777" w:rsidR="00EE1145" w:rsidRDefault="00EE1145" w:rsidP="00C854F8">
      <w:pPr>
        <w:numPr>
          <w:ilvl w:val="0"/>
          <w:numId w:val="16"/>
        </w:numPr>
        <w:spacing w:line="280" w:lineRule="atLeast"/>
        <w:jc w:val="both"/>
        <w:rPr>
          <w:spacing w:val="6"/>
          <w:sz w:val="26"/>
          <w:szCs w:val="26"/>
        </w:rPr>
      </w:pPr>
      <w:r>
        <w:rPr>
          <w:spacing w:val="6"/>
          <w:sz w:val="26"/>
          <w:szCs w:val="26"/>
        </w:rPr>
        <w:t>Según la Sentencia del TSJ Galicia de 6 de febrero de 2013, basta con que en la escritura se solicite el beneficio fiscal dependiente de la edad, aunque no se exprese la fecha de nacimiento, pues si la Administración entendiere que falta el requisito habilitante, puede completarse la justificación mediante la aportación posterior del DNI.</w:t>
      </w:r>
    </w:p>
    <w:p w14:paraId="7FCB8476" w14:textId="77777777" w:rsidR="00AE3D77" w:rsidRPr="005A6034" w:rsidRDefault="00EE1145" w:rsidP="00C854F8">
      <w:pPr>
        <w:numPr>
          <w:ilvl w:val="0"/>
          <w:numId w:val="16"/>
        </w:numPr>
        <w:spacing w:after="60" w:line="280" w:lineRule="atLeast"/>
        <w:ind w:left="1151" w:hanging="357"/>
        <w:jc w:val="both"/>
        <w:rPr>
          <w:spacing w:val="6"/>
          <w:sz w:val="26"/>
          <w:szCs w:val="26"/>
        </w:rPr>
      </w:pPr>
      <w:r>
        <w:rPr>
          <w:spacing w:val="6"/>
          <w:sz w:val="26"/>
          <w:szCs w:val="26"/>
        </w:rPr>
        <w:t xml:space="preserve">Según la Sentencia del TSJ Galicia de 27 de febrero de 2013, la reducción por vivienda habitual puede rectificarse con posterioridad a la expiración del plazo de declaración del impuesto, pues </w:t>
      </w:r>
      <w:r>
        <w:rPr>
          <w:spacing w:val="6"/>
          <w:sz w:val="26"/>
          <w:szCs w:val="26"/>
          <w:lang w:val="es-ES"/>
        </w:rPr>
        <w:t xml:space="preserve">no estamos ante una opción del </w:t>
      </w:r>
      <w:hyperlink r:id="rId93" w:anchor="a119" w:history="1">
        <w:r>
          <w:rPr>
            <w:rStyle w:val="Hipervnculo"/>
            <w:spacing w:val="6"/>
            <w:sz w:val="26"/>
            <w:szCs w:val="26"/>
            <w:lang w:val="es-ES"/>
          </w:rPr>
          <w:t>art. 119-3 de la Ley General Tributaria</w:t>
        </w:r>
      </w:hyperlink>
      <w:r>
        <w:rPr>
          <w:spacing w:val="6"/>
          <w:sz w:val="26"/>
          <w:szCs w:val="26"/>
          <w:lang w:val="es-ES"/>
        </w:rPr>
        <w:t>, que el declarante puede o no ejercitar y cuya preclusión se ciña al plazo de presentación de declaración, sino a la expresión de un beneficio fiscal, cuyos elementos no se discuten, con anterioridad a la firmeza de la liquidación.</w:t>
      </w:r>
    </w:p>
    <w:p w14:paraId="3DA5AB03" w14:textId="77777777" w:rsidR="00EE1145" w:rsidRPr="00770103" w:rsidRDefault="00EE1145" w:rsidP="00C854F8">
      <w:pPr>
        <w:numPr>
          <w:ilvl w:val="1"/>
          <w:numId w:val="15"/>
        </w:numPr>
        <w:spacing w:line="280" w:lineRule="atLeast"/>
        <w:jc w:val="both"/>
        <w:rPr>
          <w:b/>
          <w:color w:val="000000"/>
          <w:spacing w:val="6"/>
          <w:sz w:val="26"/>
          <w:szCs w:val="26"/>
        </w:rPr>
      </w:pPr>
      <w:bookmarkStart w:id="36" w:name="A5nuevo"/>
      <w:bookmarkEnd w:id="36"/>
      <w:r w:rsidRPr="00770103">
        <w:rPr>
          <w:b/>
          <w:color w:val="000000"/>
          <w:spacing w:val="6"/>
          <w:sz w:val="26"/>
          <w:szCs w:val="26"/>
        </w:rPr>
        <w:t>Régimen asturiano de la unión de hecho</w:t>
      </w:r>
    </w:p>
    <w:p w14:paraId="179E6D95" w14:textId="77777777" w:rsidR="00EE1145" w:rsidRPr="00770103" w:rsidRDefault="00EE1145">
      <w:pPr>
        <w:spacing w:line="280" w:lineRule="atLeast"/>
        <w:ind w:left="720"/>
        <w:jc w:val="both"/>
        <w:rPr>
          <w:spacing w:val="6"/>
          <w:sz w:val="26"/>
          <w:szCs w:val="26"/>
          <w:lang w:val="es-ES"/>
        </w:rPr>
      </w:pPr>
      <w:bookmarkStart w:id="37" w:name="A3"/>
      <w:bookmarkEnd w:id="37"/>
      <w:r w:rsidRPr="00770103">
        <w:rPr>
          <w:spacing w:val="6"/>
          <w:sz w:val="26"/>
          <w:szCs w:val="26"/>
        </w:rPr>
        <w:lastRenderedPageBreak/>
        <w:t xml:space="preserve">Su régimen se contiene en la </w:t>
      </w:r>
      <w:hyperlink r:id="rId94" w:history="1">
        <w:r w:rsidRPr="00770103">
          <w:rPr>
            <w:rStyle w:val="Hipervnculo"/>
            <w:bCs/>
            <w:spacing w:val="6"/>
            <w:sz w:val="26"/>
            <w:szCs w:val="26"/>
          </w:rPr>
          <w:t>Ley del Principado de Asturias 4/2002, de 23 de mayo, de Parejas Estables</w:t>
        </w:r>
      </w:hyperlink>
      <w:r w:rsidRPr="00770103">
        <w:rPr>
          <w:spacing w:val="6"/>
          <w:sz w:val="26"/>
          <w:szCs w:val="26"/>
          <w:lang w:val="es-ES"/>
        </w:rPr>
        <w:t>:</w:t>
      </w:r>
    </w:p>
    <w:p w14:paraId="33DE984A" w14:textId="77777777" w:rsidR="00A96745" w:rsidRPr="00770103" w:rsidRDefault="00A96745" w:rsidP="00C854F8">
      <w:pPr>
        <w:numPr>
          <w:ilvl w:val="0"/>
          <w:numId w:val="8"/>
        </w:numPr>
        <w:tabs>
          <w:tab w:val="clear" w:pos="1080"/>
          <w:tab w:val="num" w:pos="111"/>
          <w:tab w:val="num" w:pos="720"/>
        </w:tabs>
        <w:spacing w:line="280" w:lineRule="atLeast"/>
        <w:jc w:val="both"/>
        <w:rPr>
          <w:spacing w:val="6"/>
          <w:sz w:val="26"/>
          <w:szCs w:val="26"/>
          <w:lang w:val="es-ES"/>
        </w:rPr>
      </w:pPr>
      <w:r w:rsidRPr="00770103">
        <w:rPr>
          <w:spacing w:val="6"/>
          <w:sz w:val="26"/>
          <w:szCs w:val="26"/>
          <w:lang w:val="es-ES"/>
        </w:rPr>
        <w:t>Como punto de conexión para su aplicación exige que ambos miembros estén empadronados en cualesquiera de los concejos de Asturias. No se exige expresamente que lo estén en el mismo domicilio, si bien la sede electrónica del Gobierno del Principado de Asturias, entre los requisitos exigibles habla de “</w:t>
      </w:r>
      <w:r w:rsidRPr="00770103">
        <w:rPr>
          <w:i/>
          <w:spacing w:val="6"/>
          <w:sz w:val="26"/>
          <w:szCs w:val="26"/>
          <w:lang w:val="es-ES"/>
        </w:rPr>
        <w:t>... Certificado de empadronamiento actualizado. Ambos solicitantes deberán residir en Asturias, en el mismo domicilio...</w:t>
      </w:r>
      <w:r w:rsidRPr="00770103">
        <w:rPr>
          <w:spacing w:val="6"/>
          <w:sz w:val="26"/>
          <w:szCs w:val="26"/>
          <w:lang w:val="es-ES"/>
        </w:rPr>
        <w:t>”). Como regla general exigiremos que estén empadronados en el mismo domicilio asturiano.</w:t>
      </w:r>
    </w:p>
    <w:p w14:paraId="7D851A55" w14:textId="77777777" w:rsidR="00A96745" w:rsidRPr="00770103" w:rsidRDefault="00A96745" w:rsidP="00C854F8">
      <w:pPr>
        <w:numPr>
          <w:ilvl w:val="0"/>
          <w:numId w:val="8"/>
        </w:numPr>
        <w:tabs>
          <w:tab w:val="clear" w:pos="1080"/>
          <w:tab w:val="num" w:pos="111"/>
          <w:tab w:val="num" w:pos="720"/>
        </w:tabs>
        <w:spacing w:line="280" w:lineRule="atLeast"/>
        <w:jc w:val="both"/>
        <w:rPr>
          <w:spacing w:val="6"/>
          <w:sz w:val="26"/>
          <w:szCs w:val="26"/>
        </w:rPr>
      </w:pPr>
      <w:r w:rsidRPr="00770103">
        <w:rPr>
          <w:spacing w:val="6"/>
          <w:sz w:val="26"/>
          <w:szCs w:val="26"/>
          <w:lang w:val="es-ES"/>
        </w:rPr>
        <w:t>Y más allá de cualquier advertencia se plantea cuál deba ser la actitud del notario cuando se pretenda la formalización de la pareja de hecho, careciendo uno de los miembros de residencia legal española y sin que la legislación autonómica exija un plazo mínimo de convivencia. Así ocurre, por ejemplo, en Asturias, donde el registro administrativo niega su intervención en empadronamientos con antigüedad inferior a 3 meses, plazo que sospechosamente se parece a los 90 días de vigencia del llamado visado Schengen. Por mi parte, dado que no existe ninguna norma que exija tal antigüedad, les advierto que en tal caso lo pondré en conocimiento de la policía.</w:t>
      </w:r>
    </w:p>
    <w:p w14:paraId="76502BB5" w14:textId="77777777" w:rsidR="00EE1145" w:rsidRPr="00770103" w:rsidRDefault="00EE1145" w:rsidP="00C854F8">
      <w:pPr>
        <w:numPr>
          <w:ilvl w:val="0"/>
          <w:numId w:val="8"/>
        </w:numPr>
        <w:tabs>
          <w:tab w:val="clear" w:pos="1080"/>
          <w:tab w:val="num" w:pos="111"/>
        </w:tabs>
        <w:spacing w:line="280" w:lineRule="atLeast"/>
        <w:jc w:val="both"/>
        <w:rPr>
          <w:spacing w:val="6"/>
          <w:sz w:val="26"/>
          <w:szCs w:val="26"/>
          <w:lang w:val="es-ES"/>
        </w:rPr>
      </w:pPr>
      <w:r w:rsidRPr="00770103">
        <w:rPr>
          <w:spacing w:val="6"/>
          <w:sz w:val="26"/>
          <w:szCs w:val="26"/>
          <w:lang w:val="es-ES"/>
        </w:rPr>
        <w:t>No es elemento esencial de la misma la declaración de voluntad de ambos miembros, pero tal declaración en escritura pública o su inscripción</w:t>
      </w:r>
      <w:r w:rsidRPr="00770103">
        <w:rPr>
          <w:spacing w:val="6"/>
          <w:sz w:val="26"/>
          <w:szCs w:val="26"/>
        </w:rPr>
        <w:t xml:space="preserve"> en el Registro de Uniones de Hecho del Principado de Asturias dispensa del presupuesto objetivo de la convivencia.</w:t>
      </w:r>
    </w:p>
    <w:p w14:paraId="7CA9B044" w14:textId="77777777" w:rsidR="00EE1145" w:rsidRPr="00770103" w:rsidRDefault="00EE1145">
      <w:pPr>
        <w:spacing w:line="280" w:lineRule="atLeast"/>
        <w:ind w:left="1080"/>
        <w:jc w:val="both"/>
        <w:rPr>
          <w:spacing w:val="6"/>
          <w:sz w:val="26"/>
          <w:szCs w:val="26"/>
          <w:lang w:val="es-ES"/>
        </w:rPr>
      </w:pPr>
      <w:r w:rsidRPr="00770103">
        <w:rPr>
          <w:spacing w:val="6"/>
          <w:sz w:val="26"/>
          <w:szCs w:val="26"/>
        </w:rPr>
        <w:t>Tenemos, pues, ya una primera distinción entre la unión de hecho documentada y la unión de hecho meramente fáctica.</w:t>
      </w:r>
    </w:p>
    <w:p w14:paraId="14DC281A" w14:textId="77777777" w:rsidR="00EE1145" w:rsidRPr="00770103" w:rsidRDefault="00EE1145" w:rsidP="00C854F8">
      <w:pPr>
        <w:numPr>
          <w:ilvl w:val="0"/>
          <w:numId w:val="8"/>
        </w:numPr>
        <w:tabs>
          <w:tab w:val="clear" w:pos="1080"/>
          <w:tab w:val="num" w:pos="434"/>
        </w:tabs>
        <w:spacing w:line="280" w:lineRule="atLeast"/>
        <w:jc w:val="both"/>
        <w:rPr>
          <w:spacing w:val="6"/>
          <w:sz w:val="26"/>
          <w:szCs w:val="26"/>
          <w:lang w:val="es-ES"/>
        </w:rPr>
      </w:pPr>
      <w:r w:rsidRPr="00770103">
        <w:rPr>
          <w:spacing w:val="6"/>
          <w:sz w:val="26"/>
          <w:szCs w:val="26"/>
          <w:lang w:val="es-ES"/>
        </w:rPr>
        <w:t>Son presupuestos subjetivos de  habilidad: 2 personas, mayoría de edad o emancipación, y disanguinidad mínima de 2º grado, pero no la heterosexualidad ni la homosexualidad.</w:t>
      </w:r>
    </w:p>
    <w:p w14:paraId="5CFB299C" w14:textId="77777777" w:rsidR="00EE1145" w:rsidRPr="00770103" w:rsidRDefault="00EE1145" w:rsidP="00C854F8">
      <w:pPr>
        <w:numPr>
          <w:ilvl w:val="0"/>
          <w:numId w:val="8"/>
        </w:numPr>
        <w:tabs>
          <w:tab w:val="clear" w:pos="1080"/>
          <w:tab w:val="num" w:pos="434"/>
        </w:tabs>
        <w:spacing w:line="280" w:lineRule="atLeast"/>
        <w:jc w:val="both"/>
        <w:rPr>
          <w:spacing w:val="6"/>
          <w:sz w:val="26"/>
          <w:szCs w:val="26"/>
          <w:lang w:val="es-ES"/>
        </w:rPr>
      </w:pPr>
      <w:r w:rsidRPr="00770103">
        <w:rPr>
          <w:spacing w:val="6"/>
          <w:sz w:val="26"/>
          <w:szCs w:val="26"/>
          <w:lang w:val="es-ES"/>
        </w:rPr>
        <w:t>Es presupuesto objetivo la exclusividad en relación a cualesquiera otros vínculos matrimoniales o fácticos reconocidos; así como para las uniones de hecho no escrituradas o inscritas una estabilidad manifestada en la convivencia por plazo de 1 año en una relación de efectividad análoga a la conyugal o en la simple convivencia sin plazo si hay descendencia común.</w:t>
      </w:r>
    </w:p>
    <w:p w14:paraId="2A784068" w14:textId="77777777" w:rsidR="00EE1145" w:rsidRPr="00770103" w:rsidRDefault="00EE1145" w:rsidP="00C854F8">
      <w:pPr>
        <w:numPr>
          <w:ilvl w:val="0"/>
          <w:numId w:val="8"/>
        </w:numPr>
        <w:tabs>
          <w:tab w:val="clear" w:pos="1080"/>
          <w:tab w:val="num" w:pos="434"/>
        </w:tabs>
        <w:spacing w:line="280" w:lineRule="atLeast"/>
        <w:jc w:val="both"/>
        <w:rPr>
          <w:spacing w:val="6"/>
          <w:sz w:val="26"/>
          <w:szCs w:val="26"/>
          <w:lang w:val="es-ES"/>
        </w:rPr>
      </w:pPr>
      <w:r w:rsidRPr="00770103">
        <w:rPr>
          <w:spacing w:val="6"/>
          <w:sz w:val="26"/>
          <w:szCs w:val="26"/>
          <w:lang w:val="es-ES"/>
        </w:rPr>
        <w:t xml:space="preserve">La unión de hecho meramente fáctica puede acreditarse </w:t>
      </w:r>
      <w:r w:rsidRPr="00770103">
        <w:rPr>
          <w:spacing w:val="6"/>
          <w:sz w:val="26"/>
          <w:szCs w:val="26"/>
        </w:rPr>
        <w:t>a través de cualquier medio de prueba admitido en derecho.</w:t>
      </w:r>
    </w:p>
    <w:p w14:paraId="624B9D7C" w14:textId="77777777" w:rsidR="00EE1145" w:rsidRPr="00770103" w:rsidRDefault="00EE1145">
      <w:pPr>
        <w:spacing w:line="280" w:lineRule="atLeast"/>
        <w:ind w:left="1080"/>
        <w:jc w:val="both"/>
        <w:rPr>
          <w:spacing w:val="6"/>
          <w:sz w:val="26"/>
          <w:szCs w:val="26"/>
          <w:lang w:val="es-ES"/>
        </w:rPr>
      </w:pPr>
      <w:r w:rsidRPr="00770103">
        <w:rPr>
          <w:spacing w:val="6"/>
          <w:sz w:val="26"/>
          <w:szCs w:val="26"/>
          <w:lang w:val="es-ES"/>
        </w:rPr>
        <w:t>La unión de hecho documentada requiere declaración de ambos en escritura pública (sin necesidad de inscripción) o en el correspondiente impreso para su inscripción</w:t>
      </w:r>
      <w:r w:rsidRPr="00770103">
        <w:rPr>
          <w:spacing w:val="6"/>
          <w:sz w:val="26"/>
          <w:szCs w:val="26"/>
        </w:rPr>
        <w:t xml:space="preserve"> en el Registro de Uniones de Hecho del Principado de Asturias.</w:t>
      </w:r>
    </w:p>
    <w:p w14:paraId="09E597BC" w14:textId="77777777" w:rsidR="00852B3F" w:rsidRPr="00770103" w:rsidRDefault="00EE1145" w:rsidP="00852B3F">
      <w:pPr>
        <w:spacing w:line="280" w:lineRule="atLeast"/>
        <w:ind w:left="1080"/>
        <w:jc w:val="both"/>
        <w:rPr>
          <w:spacing w:val="6"/>
          <w:sz w:val="26"/>
          <w:szCs w:val="26"/>
          <w:lang w:val="es-ES"/>
        </w:rPr>
      </w:pPr>
      <w:r w:rsidRPr="00770103">
        <w:rPr>
          <w:spacing w:val="6"/>
          <w:sz w:val="26"/>
          <w:szCs w:val="26"/>
          <w:lang w:val="es-ES"/>
        </w:rPr>
        <w:t xml:space="preserve">Dicho Registro fue regulado por el </w:t>
      </w:r>
      <w:hyperlink r:id="rId95" w:tgtFrame="_blank" w:history="1">
        <w:r w:rsidRPr="00770103">
          <w:rPr>
            <w:rStyle w:val="Hipervnculo"/>
            <w:bCs/>
            <w:spacing w:val="6"/>
            <w:sz w:val="26"/>
            <w:szCs w:val="26"/>
          </w:rPr>
          <w:t xml:space="preserve">Decreto 71/1994, de 29 de septiembre, por el que se crea el Registro de Uniones </w:t>
        </w:r>
        <w:r w:rsidRPr="00770103">
          <w:rPr>
            <w:rStyle w:val="Hipervnculo"/>
            <w:spacing w:val="6"/>
            <w:sz w:val="26"/>
            <w:szCs w:val="26"/>
            <w:lang w:val="es-ES"/>
          </w:rPr>
          <w:t>de Hecho</w:t>
        </w:r>
      </w:hyperlink>
      <w:r w:rsidRPr="00770103">
        <w:rPr>
          <w:spacing w:val="6"/>
          <w:sz w:val="26"/>
          <w:szCs w:val="26"/>
          <w:lang w:val="es-ES"/>
        </w:rPr>
        <w:t xml:space="preserve">. Su </w:t>
      </w:r>
      <w:hyperlink r:id="rId96" w:history="1">
        <w:r w:rsidRPr="00770103">
          <w:rPr>
            <w:rStyle w:val="Hipervnculo"/>
            <w:spacing w:val="6"/>
            <w:sz w:val="26"/>
            <w:szCs w:val="26"/>
            <w:lang w:val="es-ES"/>
          </w:rPr>
          <w:t>sede electrónica</w:t>
        </w:r>
      </w:hyperlink>
      <w:r w:rsidRPr="00770103">
        <w:rPr>
          <w:spacing w:val="6"/>
          <w:sz w:val="26"/>
          <w:szCs w:val="26"/>
          <w:lang w:val="es-ES"/>
        </w:rPr>
        <w:t xml:space="preserve"> ofrece información sobre requisitos, contacto y </w:t>
      </w:r>
      <w:hyperlink r:id="rId97" w:history="1">
        <w:r w:rsidRPr="00770103">
          <w:rPr>
            <w:rStyle w:val="Hipervnculo"/>
            <w:spacing w:val="6"/>
            <w:sz w:val="26"/>
            <w:szCs w:val="26"/>
            <w:lang w:val="es-ES"/>
          </w:rPr>
          <w:t>formulario de solicitud</w:t>
        </w:r>
      </w:hyperlink>
      <w:r w:rsidRPr="00770103">
        <w:rPr>
          <w:spacing w:val="6"/>
          <w:sz w:val="26"/>
          <w:szCs w:val="26"/>
          <w:lang w:val="es-ES"/>
        </w:rPr>
        <w:t>.</w:t>
      </w:r>
      <w:r w:rsidR="00852B3F" w:rsidRPr="00770103">
        <w:rPr>
          <w:spacing w:val="6"/>
          <w:sz w:val="26"/>
          <w:szCs w:val="26"/>
          <w:lang w:val="es-ES"/>
        </w:rPr>
        <w:t xml:space="preserve"> La </w:t>
      </w:r>
      <w:hyperlink r:id="rId98" w:history="1">
        <w:r w:rsidR="00852B3F" w:rsidRPr="00770103">
          <w:rPr>
            <w:rStyle w:val="Hipervnculo"/>
            <w:spacing w:val="6"/>
            <w:sz w:val="26"/>
            <w:szCs w:val="26"/>
            <w:lang w:val="es-ES"/>
          </w:rPr>
          <w:t xml:space="preserve">Resolución de la Consejería de </w:t>
        </w:r>
        <w:r w:rsidR="00852B3F" w:rsidRPr="00770103">
          <w:rPr>
            <w:rStyle w:val="Hipervnculo"/>
            <w:spacing w:val="6"/>
            <w:sz w:val="26"/>
            <w:szCs w:val="26"/>
            <w:lang w:val="es-ES"/>
          </w:rPr>
          <w:lastRenderedPageBreak/>
          <w:t>Presidencia de 30 de enero de 2023 aprueba la carta de servicios del Registro de Uniones de Hecho</w:t>
        </w:r>
      </w:hyperlink>
      <w:r w:rsidR="00852B3F" w:rsidRPr="00770103">
        <w:rPr>
          <w:spacing w:val="6"/>
          <w:sz w:val="26"/>
          <w:szCs w:val="26"/>
          <w:lang w:val="es-ES"/>
        </w:rPr>
        <w:t>.</w:t>
      </w:r>
    </w:p>
    <w:p w14:paraId="47FABA2C" w14:textId="77777777" w:rsidR="00EE1145" w:rsidRPr="00770103" w:rsidRDefault="00EE1145" w:rsidP="00C854F8">
      <w:pPr>
        <w:numPr>
          <w:ilvl w:val="0"/>
          <w:numId w:val="8"/>
        </w:numPr>
        <w:tabs>
          <w:tab w:val="clear" w:pos="1080"/>
        </w:tabs>
        <w:spacing w:line="280" w:lineRule="atLeast"/>
        <w:jc w:val="both"/>
        <w:rPr>
          <w:spacing w:val="6"/>
          <w:sz w:val="26"/>
          <w:szCs w:val="26"/>
          <w:lang w:val="es-ES"/>
        </w:rPr>
      </w:pPr>
      <w:r w:rsidRPr="00770103">
        <w:rPr>
          <w:spacing w:val="6"/>
          <w:sz w:val="26"/>
          <w:szCs w:val="26"/>
          <w:lang w:val="es-ES"/>
        </w:rPr>
        <w:t>Desde el punto de vista autonómico se equipara al matrimonio a efectos administrativos.</w:t>
      </w:r>
    </w:p>
    <w:p w14:paraId="78C510A2" w14:textId="77777777" w:rsidR="00C141B8" w:rsidRPr="00770103" w:rsidRDefault="00C141B8" w:rsidP="00C854F8">
      <w:pPr>
        <w:numPr>
          <w:ilvl w:val="0"/>
          <w:numId w:val="8"/>
        </w:numPr>
        <w:tabs>
          <w:tab w:val="clear" w:pos="1080"/>
        </w:tabs>
        <w:spacing w:line="280" w:lineRule="atLeast"/>
        <w:jc w:val="both"/>
        <w:rPr>
          <w:spacing w:val="6"/>
          <w:sz w:val="26"/>
          <w:szCs w:val="26"/>
          <w:lang w:val="es-ES"/>
        </w:rPr>
      </w:pPr>
      <w:r w:rsidRPr="00770103">
        <w:rPr>
          <w:spacing w:val="6"/>
          <w:sz w:val="26"/>
          <w:szCs w:val="26"/>
          <w:lang w:val="es-ES"/>
        </w:rPr>
        <w:t xml:space="preserve">Civilmente, Asturias carece de competencias que permita su equiparación al matrimonio a efectos de régimen económico-matrimonial o derechos sucesorios. No obstante </w:t>
      </w:r>
      <w:hyperlink r:id="rId99" w:anchor="a5" w:history="1">
        <w:r w:rsidRPr="00770103">
          <w:rPr>
            <w:rStyle w:val="Hipervnculo"/>
            <w:spacing w:val="6"/>
            <w:sz w:val="26"/>
            <w:szCs w:val="26"/>
            <w:lang w:val="es-ES"/>
          </w:rPr>
          <w:t>el art. 5 de la Ley 4/2002</w:t>
        </w:r>
      </w:hyperlink>
      <w:r w:rsidRPr="00770103">
        <w:rPr>
          <w:spacing w:val="6"/>
          <w:sz w:val="26"/>
          <w:szCs w:val="26"/>
          <w:lang w:val="es-ES"/>
        </w:rPr>
        <w:t xml:space="preserve"> habla de que podrán regularse los efectos patrimoniales de la convivencia, aunque reconociendo su propia limitación cuando dice que tales pactos nunca podrán perjudicar a tercero.</w:t>
      </w:r>
    </w:p>
    <w:p w14:paraId="3B1C1136" w14:textId="77777777" w:rsidR="00C141B8" w:rsidRPr="00770103" w:rsidRDefault="00C141B8" w:rsidP="00C141B8">
      <w:pPr>
        <w:spacing w:line="280" w:lineRule="atLeast"/>
        <w:ind w:left="1080"/>
        <w:jc w:val="both"/>
        <w:rPr>
          <w:spacing w:val="6"/>
          <w:sz w:val="26"/>
          <w:szCs w:val="26"/>
        </w:rPr>
      </w:pPr>
      <w:r w:rsidRPr="00770103">
        <w:rPr>
          <w:spacing w:val="6"/>
          <w:sz w:val="26"/>
          <w:szCs w:val="26"/>
          <w:lang w:val="es-ES"/>
        </w:rPr>
        <w:t>A este respecto hay que tener</w:t>
      </w:r>
      <w:r w:rsidRPr="00770103">
        <w:rPr>
          <w:spacing w:val="6"/>
          <w:sz w:val="26"/>
          <w:szCs w:val="26"/>
        </w:rPr>
        <w:t xml:space="preserve"> presente la discutible </w:t>
      </w:r>
      <w:hyperlink r:id="rId100" w:history="1">
        <w:r w:rsidRPr="00770103">
          <w:rPr>
            <w:rStyle w:val="Hipervnculo"/>
            <w:spacing w:val="6"/>
            <w:sz w:val="26"/>
            <w:szCs w:val="26"/>
          </w:rPr>
          <w:t>Resolución DGRN de 7 de febrero de 2013</w:t>
        </w:r>
      </w:hyperlink>
      <w:r w:rsidRPr="00770103">
        <w:rPr>
          <w:spacing w:val="6"/>
          <w:sz w:val="26"/>
          <w:szCs w:val="26"/>
        </w:rPr>
        <w:t>, aunque referida a Andalucía (que en rigor también carece de competencias civiles) y que declaró no inscribible una aportación a gananciales por los siguientes argumentos:</w:t>
      </w:r>
    </w:p>
    <w:p w14:paraId="3ECD0FEC" w14:textId="77777777" w:rsidR="00C141B8" w:rsidRPr="00770103" w:rsidRDefault="00C141B8" w:rsidP="00C141B8">
      <w:pPr>
        <w:spacing w:line="280" w:lineRule="atLeast"/>
        <w:ind w:left="1080"/>
        <w:jc w:val="both"/>
        <w:rPr>
          <w:spacing w:val="6"/>
          <w:sz w:val="26"/>
          <w:szCs w:val="26"/>
          <w:lang w:val="es-ES"/>
        </w:rPr>
      </w:pPr>
      <w:r w:rsidRPr="00770103">
        <w:rPr>
          <w:spacing w:val="6"/>
          <w:sz w:val="26"/>
          <w:szCs w:val="26"/>
        </w:rPr>
        <w:t xml:space="preserve">- </w:t>
      </w:r>
      <w:r w:rsidRPr="00770103">
        <w:rPr>
          <w:spacing w:val="6"/>
          <w:sz w:val="26"/>
          <w:szCs w:val="26"/>
          <w:lang w:val="es-ES"/>
        </w:rPr>
        <w:t>En los casos de ausencia de pacto entre los convivientes, no es aplicable analógicamente el régimen económico de gananciales.</w:t>
      </w:r>
    </w:p>
    <w:p w14:paraId="5BE89943" w14:textId="77777777" w:rsidR="00C141B8" w:rsidRPr="00770103" w:rsidRDefault="00C141B8" w:rsidP="00C141B8">
      <w:pPr>
        <w:spacing w:line="280" w:lineRule="atLeast"/>
        <w:ind w:left="1080"/>
        <w:jc w:val="both"/>
        <w:rPr>
          <w:spacing w:val="6"/>
          <w:sz w:val="26"/>
          <w:szCs w:val="26"/>
          <w:lang w:val="es-ES"/>
        </w:rPr>
      </w:pPr>
      <w:r w:rsidRPr="00770103">
        <w:rPr>
          <w:spacing w:val="6"/>
          <w:sz w:val="26"/>
          <w:szCs w:val="26"/>
        </w:rPr>
        <w:t xml:space="preserve">- </w:t>
      </w:r>
      <w:r w:rsidRPr="00770103">
        <w:rPr>
          <w:spacing w:val="6"/>
          <w:sz w:val="26"/>
          <w:szCs w:val="26"/>
          <w:lang w:val="es-ES"/>
        </w:rPr>
        <w:t>En los casos de pacto entre los convivientes, serán inscribibles en el Registro de Uniones de Hecho, pero nunca perjudicarán a terceros, por tratarse de un registro meramente administrativo.</w:t>
      </w:r>
    </w:p>
    <w:p w14:paraId="054C98F4" w14:textId="77777777" w:rsidR="00C141B8" w:rsidRPr="00770103" w:rsidRDefault="00C141B8" w:rsidP="00C141B8">
      <w:pPr>
        <w:spacing w:line="280" w:lineRule="atLeast"/>
        <w:ind w:left="1080"/>
        <w:jc w:val="both"/>
        <w:rPr>
          <w:spacing w:val="6"/>
          <w:sz w:val="26"/>
          <w:szCs w:val="26"/>
          <w:lang w:val="es-ES"/>
        </w:rPr>
      </w:pPr>
      <w:r w:rsidRPr="00770103">
        <w:rPr>
          <w:spacing w:val="6"/>
          <w:sz w:val="26"/>
          <w:szCs w:val="26"/>
        </w:rPr>
        <w:t xml:space="preserve">- </w:t>
      </w:r>
      <w:r w:rsidRPr="00770103">
        <w:rPr>
          <w:spacing w:val="6"/>
          <w:sz w:val="26"/>
          <w:szCs w:val="26"/>
          <w:lang w:val="es-ES"/>
        </w:rPr>
        <w:t>En consecuencia, como tales pactos no pueden perjudicar a terceros, tampoco pueden trasladarse al Registro de la Propiedad.</w:t>
      </w:r>
    </w:p>
    <w:p w14:paraId="6694748C" w14:textId="77777777" w:rsidR="00EE1145" w:rsidRPr="00770103" w:rsidRDefault="00EE1145" w:rsidP="00C854F8">
      <w:pPr>
        <w:numPr>
          <w:ilvl w:val="0"/>
          <w:numId w:val="8"/>
        </w:numPr>
        <w:spacing w:line="280" w:lineRule="atLeast"/>
        <w:jc w:val="both"/>
        <w:rPr>
          <w:spacing w:val="6"/>
          <w:sz w:val="26"/>
          <w:szCs w:val="26"/>
          <w:lang w:val="es-ES"/>
        </w:rPr>
      </w:pPr>
      <w:r w:rsidRPr="00770103">
        <w:rPr>
          <w:spacing w:val="6"/>
          <w:sz w:val="26"/>
          <w:szCs w:val="26"/>
          <w:lang w:val="es-ES"/>
        </w:rPr>
        <w:t xml:space="preserve">Fiscalmente, el </w:t>
      </w:r>
      <w:hyperlink r:id="rId101" w:anchor="a24" w:history="1">
        <w:r w:rsidRPr="00770103">
          <w:rPr>
            <w:rStyle w:val="Hipervnculo"/>
            <w:spacing w:val="6"/>
            <w:sz w:val="26"/>
            <w:szCs w:val="26"/>
            <w:lang w:val="es-ES"/>
          </w:rPr>
          <w:t>art. 24 del Decreto-legislativo 2/2014</w:t>
        </w:r>
      </w:hyperlink>
      <w:r w:rsidRPr="00770103">
        <w:rPr>
          <w:spacing w:val="6"/>
          <w:sz w:val="26"/>
          <w:szCs w:val="26"/>
          <w:lang w:val="es-ES"/>
        </w:rPr>
        <w:t xml:space="preserve"> equipara tales parejas de hecho al matrimonio a los efectos de las reducciones y coeficientes multiplicadores del Impuesto sobre Sucesiones y Donaciones; discutiéndose la extensión del régimen fiscal autonómico cuando la pareja de hecho lo fuere con arreglo a otra legislación autonómica.</w:t>
      </w:r>
    </w:p>
    <w:p w14:paraId="684809A1" w14:textId="77777777" w:rsidR="0018765D" w:rsidRPr="00770103" w:rsidRDefault="0018765D" w:rsidP="0018765D">
      <w:pPr>
        <w:spacing w:line="280" w:lineRule="atLeast"/>
        <w:ind w:left="1080"/>
        <w:jc w:val="both"/>
        <w:rPr>
          <w:spacing w:val="6"/>
          <w:sz w:val="26"/>
          <w:szCs w:val="26"/>
          <w:lang w:val="es-ES"/>
        </w:rPr>
      </w:pPr>
      <w:r w:rsidRPr="00770103">
        <w:rPr>
          <w:spacing w:val="6"/>
          <w:sz w:val="26"/>
          <w:szCs w:val="26"/>
          <w:lang w:val="es-ES"/>
        </w:rPr>
        <w:t xml:space="preserve">En rigor tal equiparación en el Impuesto sobre Sucesiones y Donaciones, no es tal en relación a la escala reducida aplicable desde 2018. Sin embargo, </w:t>
      </w:r>
      <w:r w:rsidRPr="00770103">
        <w:rPr>
          <w:spacing w:val="6"/>
          <w:sz w:val="26"/>
          <w:szCs w:val="26"/>
        </w:rPr>
        <w:t xml:space="preserve">la </w:t>
      </w:r>
      <w:hyperlink r:id="rId102" w:history="1">
        <w:r w:rsidRPr="00770103">
          <w:rPr>
            <w:rStyle w:val="Hipervnculo"/>
            <w:spacing w:val="6"/>
            <w:sz w:val="26"/>
            <w:szCs w:val="26"/>
          </w:rPr>
          <w:t>Consulta Tributaria - Dictamen 1/2019 de la Dirección General de Finanzas y Economía de la Consejería de Hacienda y Sector Público</w:t>
        </w:r>
      </w:hyperlink>
      <w:r w:rsidRPr="00770103">
        <w:rPr>
          <w:spacing w:val="6"/>
          <w:sz w:val="26"/>
          <w:szCs w:val="26"/>
        </w:rPr>
        <w:t xml:space="preserve"> entiende que sí les es aplicable tal escala reducida, pues “</w:t>
      </w:r>
      <w:r w:rsidRPr="00770103">
        <w:rPr>
          <w:i/>
          <w:spacing w:val="6"/>
          <w:sz w:val="26"/>
          <w:szCs w:val="26"/>
        </w:rPr>
        <w:t>... ha de entenderse que toda referencia que realiza la norma autonómica a los grupos de parentesco ha de vincularse necesariamente al artículo 20 y en consecuencia, las menciones que se llevan a cabo en el Texto Refundido al grupo II de parentesco se extienden tanto a descendientes y adoptados de veintiuno o más años, cónyuges, ascendientes y adoptantes como a miembros de parejas estables y acogimientos familiares permanentes o preadoptivos...</w:t>
      </w:r>
      <w:r w:rsidRPr="00770103">
        <w:rPr>
          <w:spacing w:val="6"/>
          <w:sz w:val="26"/>
          <w:szCs w:val="26"/>
        </w:rPr>
        <w:t>”.</w:t>
      </w:r>
    </w:p>
    <w:p w14:paraId="2EA65F79" w14:textId="77777777" w:rsidR="00CD0D9A" w:rsidRPr="00770103" w:rsidRDefault="00CD0D9A" w:rsidP="00C854F8">
      <w:pPr>
        <w:numPr>
          <w:ilvl w:val="0"/>
          <w:numId w:val="8"/>
        </w:numPr>
        <w:tabs>
          <w:tab w:val="clear" w:pos="1080"/>
        </w:tabs>
        <w:spacing w:line="280" w:lineRule="atLeast"/>
        <w:jc w:val="both"/>
        <w:rPr>
          <w:bCs/>
          <w:spacing w:val="6"/>
          <w:sz w:val="26"/>
          <w:szCs w:val="26"/>
        </w:rPr>
      </w:pPr>
      <w:r w:rsidRPr="00770103">
        <w:rPr>
          <w:bCs/>
          <w:spacing w:val="6"/>
          <w:sz w:val="26"/>
          <w:szCs w:val="26"/>
          <w:lang w:val="es-ES"/>
        </w:rPr>
        <w:t xml:space="preserve">Desde el punto de vista estatal, no les son aplicables cualesquiera regímenes previstos en la legislación estatal. Así lo entiende la </w:t>
      </w:r>
      <w:hyperlink r:id="rId103" w:history="1">
        <w:r w:rsidRPr="00770103">
          <w:rPr>
            <w:rStyle w:val="Hipervnculo"/>
            <w:bCs/>
            <w:spacing w:val="6"/>
            <w:sz w:val="26"/>
            <w:szCs w:val="26"/>
            <w:lang w:val="es-ES"/>
          </w:rPr>
          <w:t>Resolución DGT de 22 de mayo de 2015</w:t>
        </w:r>
      </w:hyperlink>
      <w:r w:rsidRPr="00770103">
        <w:rPr>
          <w:bCs/>
          <w:spacing w:val="6"/>
          <w:sz w:val="26"/>
          <w:szCs w:val="26"/>
          <w:lang w:val="es-ES"/>
        </w:rPr>
        <w:t xml:space="preserve"> (V1536-15), negando que quepa la tributación conjunta en el IRPF; o la </w:t>
      </w:r>
      <w:hyperlink r:id="rId104" w:history="1">
        <w:r w:rsidRPr="00770103">
          <w:rPr>
            <w:rStyle w:val="Hipervnculo"/>
            <w:bCs/>
            <w:spacing w:val="6"/>
            <w:sz w:val="26"/>
            <w:szCs w:val="26"/>
            <w:lang w:val="es-ES"/>
          </w:rPr>
          <w:t>Resolución DGT de 10 de marzo de 2016</w:t>
        </w:r>
      </w:hyperlink>
      <w:r w:rsidRPr="00770103">
        <w:rPr>
          <w:bCs/>
          <w:spacing w:val="6"/>
          <w:sz w:val="26"/>
          <w:szCs w:val="26"/>
          <w:lang w:val="es-ES"/>
        </w:rPr>
        <w:t xml:space="preserve"> (V0934-16), que a propósito de la exención en </w:t>
      </w:r>
      <w:r w:rsidRPr="00770103">
        <w:rPr>
          <w:bCs/>
          <w:spacing w:val="6"/>
          <w:sz w:val="26"/>
          <w:szCs w:val="26"/>
          <w:lang w:val="es-ES"/>
        </w:rPr>
        <w:lastRenderedPageBreak/>
        <w:t>una liquidación de gananciales de una pareja gallega entiende que no hay tal liquidación porque los conviv</w:t>
      </w:r>
      <w:r w:rsidR="00737B6A">
        <w:rPr>
          <w:bCs/>
          <w:spacing w:val="6"/>
          <w:sz w:val="26"/>
          <w:szCs w:val="26"/>
          <w:lang w:val="es-ES"/>
        </w:rPr>
        <w:t>i</w:t>
      </w:r>
      <w:r w:rsidRPr="00770103">
        <w:rPr>
          <w:bCs/>
          <w:spacing w:val="6"/>
          <w:sz w:val="26"/>
          <w:szCs w:val="26"/>
          <w:lang w:val="es-ES"/>
        </w:rPr>
        <w:t>entes adquirieron en comunidad ordinaria; mientras que la</w:t>
      </w:r>
      <w:r w:rsidRPr="00770103">
        <w:rPr>
          <w:bCs/>
          <w:spacing w:val="6"/>
          <w:sz w:val="26"/>
          <w:szCs w:val="26"/>
        </w:rPr>
        <w:t xml:space="preserve"> </w:t>
      </w:r>
      <w:hyperlink r:id="rId105" w:history="1">
        <w:r w:rsidRPr="00770103">
          <w:rPr>
            <w:rStyle w:val="Hipervnculo"/>
            <w:bCs/>
            <w:spacing w:val="6"/>
            <w:sz w:val="26"/>
            <w:szCs w:val="26"/>
          </w:rPr>
          <w:t>Resolución DGT de 8 de marzo de 2013</w:t>
        </w:r>
      </w:hyperlink>
      <w:r w:rsidRPr="00770103">
        <w:rPr>
          <w:bCs/>
          <w:spacing w:val="6"/>
          <w:sz w:val="26"/>
          <w:szCs w:val="26"/>
        </w:rPr>
        <w:t xml:space="preserve"> (V0722-13), para una pareja de hecho andaluza que hubiese pactado sociedad de gananciales, niega que sea de aplicación la exención en ITPO prevista para las aportaciones conyugales, y lo mismo la </w:t>
      </w:r>
      <w:hyperlink r:id="rId106" w:history="1">
        <w:r w:rsidRPr="00770103">
          <w:rPr>
            <w:rStyle w:val="Hipervnculo"/>
            <w:bCs/>
            <w:spacing w:val="6"/>
            <w:sz w:val="26"/>
            <w:szCs w:val="26"/>
          </w:rPr>
          <w:t>Resolución DGT de 20 de diciembre de 2007</w:t>
        </w:r>
      </w:hyperlink>
      <w:r w:rsidRPr="00770103">
        <w:rPr>
          <w:bCs/>
          <w:spacing w:val="6"/>
          <w:sz w:val="26"/>
          <w:szCs w:val="26"/>
        </w:rPr>
        <w:t xml:space="preserve"> (V2735-07) para una pareja balear.</w:t>
      </w:r>
    </w:p>
    <w:p w14:paraId="3FA973B5" w14:textId="77777777" w:rsidR="00EE1145" w:rsidRPr="00852B3F" w:rsidRDefault="00EE1145" w:rsidP="00CD0D9A">
      <w:pPr>
        <w:spacing w:line="280" w:lineRule="atLeast"/>
        <w:ind w:left="1080"/>
        <w:jc w:val="both"/>
        <w:rPr>
          <w:spacing w:val="6"/>
          <w:sz w:val="24"/>
          <w:szCs w:val="24"/>
          <w:lang w:val="es-ES"/>
        </w:rPr>
      </w:pPr>
    </w:p>
    <w:p w14:paraId="62C8BCEB" w14:textId="77777777" w:rsidR="00EE1145" w:rsidRDefault="00EE1145">
      <w:pPr>
        <w:spacing w:line="280" w:lineRule="atLeast"/>
        <w:ind w:left="720"/>
        <w:jc w:val="both"/>
        <w:rPr>
          <w:b/>
          <w:spacing w:val="6"/>
          <w:sz w:val="22"/>
          <w:szCs w:val="22"/>
        </w:rPr>
      </w:pPr>
      <w:bookmarkStart w:id="38" w:name="mejora"/>
      <w:bookmarkEnd w:id="38"/>
    </w:p>
    <w:p w14:paraId="4A047F3A" w14:textId="77777777" w:rsidR="00EE1145" w:rsidRDefault="00EE1145">
      <w:pPr>
        <w:spacing w:line="280" w:lineRule="atLeast"/>
        <w:ind w:left="720"/>
        <w:jc w:val="both"/>
        <w:rPr>
          <w:spacing w:val="6"/>
          <w:sz w:val="26"/>
          <w:szCs w:val="26"/>
        </w:rPr>
      </w:pPr>
      <w:r>
        <w:rPr>
          <w:spacing w:val="6"/>
          <w:sz w:val="26"/>
          <w:szCs w:val="26"/>
        </w:rPr>
        <w:br w:type="page"/>
      </w:r>
    </w:p>
    <w:p w14:paraId="2991B794" w14:textId="77777777" w:rsidR="00EE1145" w:rsidRDefault="00EE1145" w:rsidP="00C854F8">
      <w:pPr>
        <w:numPr>
          <w:ilvl w:val="0"/>
          <w:numId w:val="15"/>
        </w:numPr>
        <w:tabs>
          <w:tab w:val="clear" w:pos="360"/>
        </w:tabs>
        <w:spacing w:line="280" w:lineRule="atLeast"/>
        <w:jc w:val="both"/>
        <w:rPr>
          <w:b/>
          <w:color w:val="000000"/>
          <w:spacing w:val="6"/>
          <w:sz w:val="22"/>
          <w:szCs w:val="22"/>
        </w:rPr>
      </w:pPr>
      <w:bookmarkStart w:id="39" w:name="B"/>
      <w:bookmarkEnd w:id="39"/>
      <w:r>
        <w:rPr>
          <w:b/>
          <w:color w:val="000000"/>
          <w:spacing w:val="6"/>
          <w:sz w:val="26"/>
          <w:szCs w:val="26"/>
        </w:rPr>
        <w:lastRenderedPageBreak/>
        <w:t>IMPUESTO SOBRE TRANSMISIONES PATRIMONIALES Y</w:t>
      </w:r>
      <w:r>
        <w:rPr>
          <w:b/>
          <w:color w:val="FF0000"/>
          <w:spacing w:val="6"/>
          <w:sz w:val="26"/>
          <w:szCs w:val="26"/>
        </w:rPr>
        <w:t xml:space="preserve"> </w:t>
      </w:r>
      <w:r>
        <w:rPr>
          <w:b/>
          <w:color w:val="000000"/>
          <w:spacing w:val="6"/>
          <w:sz w:val="26"/>
          <w:szCs w:val="26"/>
        </w:rPr>
        <w:t>ACTOS JURÍDICOS DOCUMENTADOS</w:t>
      </w:r>
    </w:p>
    <w:p w14:paraId="563C64A2" w14:textId="77777777" w:rsidR="00EE1145" w:rsidRDefault="00EE1145" w:rsidP="00C854F8">
      <w:pPr>
        <w:numPr>
          <w:ilvl w:val="1"/>
          <w:numId w:val="15"/>
        </w:numPr>
        <w:tabs>
          <w:tab w:val="num" w:pos="1440"/>
        </w:tabs>
        <w:spacing w:line="280" w:lineRule="atLeast"/>
        <w:jc w:val="both"/>
        <w:rPr>
          <w:b/>
          <w:spacing w:val="6"/>
          <w:sz w:val="22"/>
          <w:szCs w:val="22"/>
        </w:rPr>
      </w:pPr>
      <w:bookmarkStart w:id="40" w:name="B1"/>
      <w:bookmarkStart w:id="41" w:name="tiposgenerales"/>
      <w:bookmarkEnd w:id="40"/>
      <w:bookmarkEnd w:id="41"/>
      <w:r>
        <w:rPr>
          <w:b/>
          <w:color w:val="000000"/>
          <w:spacing w:val="6"/>
          <w:sz w:val="26"/>
          <w:szCs w:val="26"/>
        </w:rPr>
        <w:t xml:space="preserve">Tipos generales asturianos del 8% (hasta 300.000 €), </w:t>
      </w:r>
      <w:r>
        <w:rPr>
          <w:rFonts w:ascii="Times New Roman" w:hAnsi="Times New Roman"/>
          <w:b/>
          <w:color w:val="000000"/>
          <w:sz w:val="28"/>
          <w:szCs w:val="28"/>
        </w:rPr>
        <w:t xml:space="preserve">9% (entre 300.001 y 500.000 €) y 10% (lo que exceda) </w:t>
      </w:r>
      <w:r>
        <w:rPr>
          <w:b/>
          <w:color w:val="000000"/>
          <w:spacing w:val="6"/>
          <w:sz w:val="26"/>
          <w:szCs w:val="26"/>
        </w:rPr>
        <w:t>en TPO inmobiliarias, del 4% en TPO mobiliarias</w:t>
      </w:r>
      <w:r w:rsidR="00CD2909">
        <w:rPr>
          <w:b/>
          <w:color w:val="000000"/>
          <w:spacing w:val="6"/>
          <w:sz w:val="26"/>
          <w:szCs w:val="26"/>
        </w:rPr>
        <w:t xml:space="preserve">, </w:t>
      </w:r>
      <w:r>
        <w:rPr>
          <w:b/>
          <w:color w:val="000000"/>
          <w:spacing w:val="6"/>
          <w:sz w:val="26"/>
          <w:szCs w:val="26"/>
        </w:rPr>
        <w:t>del 1,2% en AJD</w:t>
      </w:r>
      <w:r w:rsidR="00CD2909">
        <w:rPr>
          <w:b/>
          <w:color w:val="000000"/>
          <w:spacing w:val="6"/>
          <w:sz w:val="26"/>
          <w:szCs w:val="26"/>
        </w:rPr>
        <w:t xml:space="preserve"> general y del 1,5% en AJD préstamos hipotecarios</w:t>
      </w:r>
    </w:p>
    <w:p w14:paraId="65ED79B5" w14:textId="77777777" w:rsidR="00EE1145" w:rsidRDefault="00EE1145" w:rsidP="00C854F8">
      <w:pPr>
        <w:numPr>
          <w:ilvl w:val="2"/>
          <w:numId w:val="15"/>
        </w:numPr>
        <w:tabs>
          <w:tab w:val="num" w:pos="2520"/>
        </w:tabs>
        <w:spacing w:line="280" w:lineRule="atLeast"/>
        <w:jc w:val="both"/>
        <w:rPr>
          <w:b/>
          <w:color w:val="000000"/>
          <w:spacing w:val="6"/>
          <w:sz w:val="22"/>
          <w:szCs w:val="22"/>
        </w:rPr>
      </w:pPr>
      <w:bookmarkStart w:id="42" w:name="e211"/>
      <w:bookmarkEnd w:id="42"/>
      <w:r>
        <w:rPr>
          <w:b/>
          <w:color w:val="000000"/>
          <w:spacing w:val="6"/>
          <w:sz w:val="26"/>
          <w:szCs w:val="26"/>
        </w:rPr>
        <w:t>Evolución legislativa</w:t>
      </w:r>
    </w:p>
    <w:p w14:paraId="6263134E" w14:textId="77777777" w:rsidR="00EE1145" w:rsidRDefault="00EE1145" w:rsidP="00C854F8">
      <w:pPr>
        <w:numPr>
          <w:ilvl w:val="1"/>
          <w:numId w:val="11"/>
        </w:numPr>
        <w:tabs>
          <w:tab w:val="num" w:pos="1440"/>
        </w:tabs>
        <w:spacing w:line="280" w:lineRule="atLeast"/>
        <w:ind w:left="720" w:firstLine="0"/>
        <w:jc w:val="both"/>
        <w:rPr>
          <w:color w:val="000000"/>
          <w:spacing w:val="6"/>
          <w:sz w:val="26"/>
          <w:szCs w:val="26"/>
          <w:u w:val="single"/>
        </w:rPr>
      </w:pPr>
      <w:hyperlink r:id="rId107" w:history="1">
        <w:r>
          <w:rPr>
            <w:rStyle w:val="Hipervnculo"/>
            <w:spacing w:val="6"/>
            <w:sz w:val="26"/>
            <w:szCs w:val="26"/>
          </w:rPr>
          <w:t>Ley asturiana 15/2002</w:t>
        </w:r>
      </w:hyperlink>
      <w:r>
        <w:rPr>
          <w:spacing w:val="6"/>
          <w:sz w:val="26"/>
          <w:szCs w:val="26"/>
        </w:rPr>
        <w:t xml:space="preserve"> (BOPA 31/12/2002), con entrada en vigor el día 1 de enero de 2003: En relación a TPO inmobiliarias establece el tipo general del 7% (frente al subsidiario estatal del 6%); mientras que en relación a AJD establece el tipo general del 1% (frente al subsidiario estatal del 0,5%).</w:t>
      </w:r>
    </w:p>
    <w:p w14:paraId="0DE88F86" w14:textId="77777777" w:rsidR="00EE1145" w:rsidRDefault="00EE1145" w:rsidP="00C854F8">
      <w:pPr>
        <w:numPr>
          <w:ilvl w:val="1"/>
          <w:numId w:val="11"/>
        </w:numPr>
        <w:tabs>
          <w:tab w:val="num" w:pos="1440"/>
        </w:tabs>
        <w:spacing w:line="280" w:lineRule="atLeast"/>
        <w:jc w:val="both"/>
        <w:rPr>
          <w:color w:val="000000"/>
          <w:spacing w:val="6"/>
          <w:sz w:val="26"/>
          <w:szCs w:val="26"/>
          <w:u w:val="single"/>
        </w:rPr>
      </w:pPr>
      <w:hyperlink r:id="rId108" w:history="1">
        <w:r>
          <w:rPr>
            <w:rStyle w:val="Hipervnculo"/>
            <w:spacing w:val="6"/>
            <w:sz w:val="26"/>
            <w:szCs w:val="26"/>
          </w:rPr>
          <w:t>Ley asturiana 5/2010</w:t>
        </w:r>
      </w:hyperlink>
      <w:r>
        <w:rPr>
          <w:color w:val="000000"/>
          <w:spacing w:val="6"/>
          <w:sz w:val="26"/>
          <w:szCs w:val="26"/>
        </w:rPr>
        <w:t xml:space="preserve"> (BOPA 14/07/2010), con entrada en vigor el día 15 de julio de 2010: </w:t>
      </w:r>
      <w:bookmarkStart w:id="43" w:name="n212"/>
      <w:bookmarkEnd w:id="43"/>
      <w:r>
        <w:rPr>
          <w:color w:val="000000"/>
          <w:spacing w:val="6"/>
          <w:sz w:val="26"/>
          <w:szCs w:val="26"/>
        </w:rPr>
        <w:t xml:space="preserve">En relación a TPO inmobiliarias sube el tipo general al </w:t>
      </w:r>
      <w:r>
        <w:rPr>
          <w:rFonts w:ascii="Times New Roman" w:hAnsi="Times New Roman"/>
          <w:color w:val="000000"/>
          <w:sz w:val="28"/>
          <w:szCs w:val="28"/>
        </w:rPr>
        <w:t>8% (hasta 300.000 €), 9% (entre 300.001 y 500.000 €) y 10% (lo que exceda)</w:t>
      </w:r>
      <w:r>
        <w:rPr>
          <w:spacing w:val="6"/>
          <w:sz w:val="26"/>
          <w:szCs w:val="26"/>
        </w:rPr>
        <w:t>; mientras que en relación a AJD sube el tipo general al 1,2%.</w:t>
      </w:r>
    </w:p>
    <w:p w14:paraId="2DD6C8A5" w14:textId="77777777" w:rsidR="00EE1145" w:rsidRDefault="00EE1145" w:rsidP="00C854F8">
      <w:pPr>
        <w:numPr>
          <w:ilvl w:val="2"/>
          <w:numId w:val="15"/>
        </w:numPr>
        <w:tabs>
          <w:tab w:val="num" w:pos="2520"/>
        </w:tabs>
        <w:spacing w:line="280" w:lineRule="atLeast"/>
        <w:jc w:val="both"/>
        <w:rPr>
          <w:b/>
          <w:color w:val="FF0000"/>
          <w:spacing w:val="6"/>
          <w:sz w:val="22"/>
          <w:szCs w:val="22"/>
        </w:rPr>
      </w:pPr>
      <w:bookmarkStart w:id="44" w:name="nOR212"/>
      <w:bookmarkEnd w:id="44"/>
      <w:r>
        <w:rPr>
          <w:b/>
          <w:spacing w:val="6"/>
          <w:sz w:val="26"/>
          <w:szCs w:val="26"/>
        </w:rPr>
        <w:t>Normativa vigente</w:t>
      </w:r>
    </w:p>
    <w:p w14:paraId="23DC27ED" w14:textId="77777777" w:rsidR="00EE1145" w:rsidRDefault="00EE1145">
      <w:pPr>
        <w:spacing w:line="280" w:lineRule="atLeast"/>
        <w:ind w:left="1440"/>
        <w:jc w:val="both"/>
        <w:rPr>
          <w:spacing w:val="6"/>
          <w:sz w:val="26"/>
          <w:szCs w:val="26"/>
        </w:rPr>
      </w:pPr>
      <w:hyperlink r:id="rId109" w:anchor="t1c4s1" w:history="1">
        <w:r>
          <w:rPr>
            <w:rStyle w:val="Hipervnculo"/>
            <w:rFonts w:ascii="Times New Roman" w:hAnsi="Times New Roman"/>
            <w:sz w:val="26"/>
            <w:szCs w:val="26"/>
            <w:lang w:val="es-ES"/>
          </w:rPr>
          <w:t>Arts. 26, 29, 32, 34 y 36 del Decreto-legislativo asturiano 2/2014</w:t>
        </w:r>
      </w:hyperlink>
      <w:r>
        <w:rPr>
          <w:spacing w:val="6"/>
          <w:sz w:val="26"/>
          <w:szCs w:val="26"/>
        </w:rPr>
        <w:t>: Con el contenido expresado, lo que sumado a la normativa estatal determina:</w:t>
      </w:r>
    </w:p>
    <w:p w14:paraId="4FF47B99" w14:textId="77777777" w:rsidR="00EE1145" w:rsidRPr="000D5164" w:rsidRDefault="00EE1145" w:rsidP="00C854F8">
      <w:pPr>
        <w:numPr>
          <w:ilvl w:val="1"/>
          <w:numId w:val="8"/>
        </w:numPr>
        <w:spacing w:line="280" w:lineRule="atLeast"/>
        <w:jc w:val="both"/>
        <w:rPr>
          <w:spacing w:val="6"/>
          <w:sz w:val="26"/>
          <w:szCs w:val="26"/>
        </w:rPr>
      </w:pPr>
      <w:r w:rsidRPr="000D5164">
        <w:rPr>
          <w:spacing w:val="6"/>
          <w:sz w:val="26"/>
          <w:szCs w:val="26"/>
        </w:rPr>
        <w:t xml:space="preserve">TPO inmuebles: </w:t>
      </w:r>
      <w:r w:rsidRPr="000D5164">
        <w:rPr>
          <w:rFonts w:ascii="Times New Roman" w:hAnsi="Times New Roman"/>
          <w:color w:val="000000"/>
          <w:sz w:val="28"/>
          <w:szCs w:val="28"/>
        </w:rPr>
        <w:t>8% (hasta 300.000 €), 9% (entre 300.001 y 500.000 €) y 10% (lo que exceda)</w:t>
      </w:r>
      <w:r w:rsidR="008E3697" w:rsidRPr="000D5164">
        <w:rPr>
          <w:rFonts w:ascii="Times New Roman" w:hAnsi="Times New Roman"/>
          <w:color w:val="000000"/>
          <w:sz w:val="28"/>
          <w:szCs w:val="28"/>
        </w:rPr>
        <w:t>.</w:t>
      </w:r>
    </w:p>
    <w:p w14:paraId="713687E0" w14:textId="77777777" w:rsidR="00EE1145" w:rsidRDefault="00EE1145" w:rsidP="00C854F8">
      <w:pPr>
        <w:numPr>
          <w:ilvl w:val="1"/>
          <w:numId w:val="8"/>
        </w:numPr>
        <w:spacing w:line="280" w:lineRule="atLeast"/>
        <w:jc w:val="both"/>
        <w:rPr>
          <w:spacing w:val="6"/>
          <w:sz w:val="26"/>
          <w:szCs w:val="26"/>
        </w:rPr>
      </w:pPr>
      <w:r w:rsidRPr="000D5164">
        <w:rPr>
          <w:spacing w:val="6"/>
          <w:sz w:val="26"/>
          <w:szCs w:val="26"/>
        </w:rPr>
        <w:t>TPO muebles: 4%.</w:t>
      </w:r>
    </w:p>
    <w:p w14:paraId="5407A0C6" w14:textId="77777777" w:rsidR="00EE1145" w:rsidRDefault="00EE1145" w:rsidP="00C854F8">
      <w:pPr>
        <w:numPr>
          <w:ilvl w:val="1"/>
          <w:numId w:val="8"/>
        </w:numPr>
        <w:spacing w:line="280" w:lineRule="atLeast"/>
        <w:jc w:val="both"/>
        <w:rPr>
          <w:spacing w:val="6"/>
          <w:sz w:val="26"/>
          <w:szCs w:val="26"/>
        </w:rPr>
      </w:pPr>
      <w:r w:rsidRPr="000D5164">
        <w:rPr>
          <w:spacing w:val="6"/>
          <w:sz w:val="26"/>
          <w:szCs w:val="26"/>
        </w:rPr>
        <w:t>TPO concesiones: 4%.</w:t>
      </w:r>
    </w:p>
    <w:p w14:paraId="43AFA445" w14:textId="77777777" w:rsidR="00EE1145" w:rsidRDefault="00EE1145" w:rsidP="00C854F8">
      <w:pPr>
        <w:numPr>
          <w:ilvl w:val="1"/>
          <w:numId w:val="8"/>
        </w:numPr>
        <w:spacing w:line="280" w:lineRule="atLeast"/>
        <w:jc w:val="both"/>
        <w:rPr>
          <w:spacing w:val="6"/>
          <w:sz w:val="26"/>
          <w:szCs w:val="26"/>
        </w:rPr>
      </w:pPr>
      <w:r w:rsidRPr="000D5164">
        <w:rPr>
          <w:spacing w:val="6"/>
          <w:sz w:val="26"/>
          <w:szCs w:val="26"/>
        </w:rPr>
        <w:t>TPO garantías: 1% (por ejemplo, fianza sobrevenida y constitución condición resolutoria no empresarial).</w:t>
      </w:r>
    </w:p>
    <w:p w14:paraId="443DCAD3" w14:textId="77777777" w:rsidR="00EE1145" w:rsidRDefault="00EE1145" w:rsidP="00C854F8">
      <w:pPr>
        <w:numPr>
          <w:ilvl w:val="1"/>
          <w:numId w:val="8"/>
        </w:numPr>
        <w:spacing w:line="280" w:lineRule="atLeast"/>
        <w:jc w:val="both"/>
        <w:rPr>
          <w:spacing w:val="6"/>
          <w:sz w:val="26"/>
          <w:szCs w:val="26"/>
        </w:rPr>
      </w:pPr>
      <w:r w:rsidRPr="000D5164">
        <w:rPr>
          <w:spacing w:val="6"/>
          <w:sz w:val="26"/>
          <w:szCs w:val="26"/>
        </w:rPr>
        <w:t>AJD</w:t>
      </w:r>
      <w:r w:rsidR="000D5164">
        <w:rPr>
          <w:spacing w:val="6"/>
          <w:sz w:val="26"/>
          <w:szCs w:val="26"/>
        </w:rPr>
        <w:t xml:space="preserve"> general</w:t>
      </w:r>
      <w:r w:rsidRPr="000D5164">
        <w:rPr>
          <w:spacing w:val="6"/>
          <w:sz w:val="26"/>
          <w:szCs w:val="26"/>
        </w:rPr>
        <w:t>: 1,2%.</w:t>
      </w:r>
    </w:p>
    <w:p w14:paraId="119ADFBD" w14:textId="77777777" w:rsidR="000D5164" w:rsidRDefault="000D5164" w:rsidP="00C854F8">
      <w:pPr>
        <w:numPr>
          <w:ilvl w:val="1"/>
          <w:numId w:val="8"/>
        </w:numPr>
        <w:spacing w:line="280" w:lineRule="atLeast"/>
        <w:jc w:val="both"/>
        <w:rPr>
          <w:spacing w:val="6"/>
          <w:sz w:val="26"/>
          <w:szCs w:val="26"/>
        </w:rPr>
      </w:pPr>
      <w:r>
        <w:rPr>
          <w:spacing w:val="6"/>
          <w:sz w:val="26"/>
          <w:szCs w:val="26"/>
        </w:rPr>
        <w:t>AJD préstamos hipotecarios: 1,5%.</w:t>
      </w:r>
    </w:p>
    <w:p w14:paraId="7D861C64" w14:textId="77777777" w:rsidR="00EE1145" w:rsidRPr="000D5164" w:rsidRDefault="00EE1145" w:rsidP="00C854F8">
      <w:pPr>
        <w:numPr>
          <w:ilvl w:val="1"/>
          <w:numId w:val="8"/>
        </w:numPr>
        <w:spacing w:line="280" w:lineRule="atLeast"/>
        <w:jc w:val="both"/>
        <w:rPr>
          <w:spacing w:val="6"/>
          <w:sz w:val="26"/>
          <w:szCs w:val="26"/>
        </w:rPr>
      </w:pPr>
      <w:r w:rsidRPr="000D5164">
        <w:rPr>
          <w:spacing w:val="6"/>
          <w:sz w:val="26"/>
          <w:szCs w:val="26"/>
        </w:rPr>
        <w:t>Renuncia exención IVA: sube AJD al 1,5% (pero si pudiendo no se renuncia se aplica TPO al 2%).</w:t>
      </w:r>
    </w:p>
    <w:p w14:paraId="1CFC1427" w14:textId="77777777" w:rsidR="00EE1145" w:rsidRDefault="00EE1145">
      <w:pPr>
        <w:spacing w:line="280" w:lineRule="atLeast"/>
        <w:ind w:left="1440"/>
        <w:jc w:val="both"/>
        <w:rPr>
          <w:spacing w:val="6"/>
          <w:sz w:val="26"/>
          <w:szCs w:val="26"/>
        </w:rPr>
      </w:pPr>
      <w:r>
        <w:rPr>
          <w:spacing w:val="6"/>
          <w:sz w:val="26"/>
          <w:szCs w:val="26"/>
        </w:rPr>
        <w:t>No hay beneficios fiscales en el ITPOyAJD para la adquisición de la vivienda habitual y su financiación (salvo viviendas de protección pública</w:t>
      </w:r>
      <w:r w:rsidR="00F126D5">
        <w:rPr>
          <w:spacing w:val="6"/>
          <w:sz w:val="26"/>
          <w:szCs w:val="26"/>
        </w:rPr>
        <w:t xml:space="preserve">, </w:t>
      </w:r>
      <w:r w:rsidR="009C19D6">
        <w:rPr>
          <w:spacing w:val="6"/>
          <w:sz w:val="26"/>
          <w:szCs w:val="26"/>
        </w:rPr>
        <w:t>desde el 01/01/2022 vivienda habitual en zona despoblada</w:t>
      </w:r>
      <w:r w:rsidR="00F126D5">
        <w:rPr>
          <w:spacing w:val="6"/>
          <w:sz w:val="26"/>
          <w:szCs w:val="26"/>
        </w:rPr>
        <w:t>, desde el 01/01/2024 vivienda para jóvenes de hasta 35 años, familias numerosas y mujeres víctimas de violencia de género</w:t>
      </w:r>
      <w:r>
        <w:rPr>
          <w:spacing w:val="6"/>
          <w:sz w:val="26"/>
          <w:szCs w:val="26"/>
        </w:rPr>
        <w:t>)</w:t>
      </w:r>
      <w:r w:rsidR="00541B62">
        <w:rPr>
          <w:spacing w:val="6"/>
          <w:sz w:val="26"/>
          <w:szCs w:val="26"/>
        </w:rPr>
        <w:t xml:space="preserve">. Hay también una </w:t>
      </w:r>
      <w:bookmarkStart w:id="45" w:name="_Hlk155530526"/>
      <w:r w:rsidR="00541B62">
        <w:rPr>
          <w:spacing w:val="6"/>
          <w:sz w:val="26"/>
          <w:szCs w:val="26"/>
        </w:rPr>
        <w:t>deducción del 100% en TPO para el suelo rústico.</w:t>
      </w:r>
    </w:p>
    <w:bookmarkEnd w:id="45"/>
    <w:p w14:paraId="0D9DDE55" w14:textId="77777777" w:rsidR="00B73148" w:rsidRDefault="00B73148" w:rsidP="00374697">
      <w:pPr>
        <w:spacing w:line="280" w:lineRule="atLeast"/>
        <w:jc w:val="both"/>
        <w:rPr>
          <w:spacing w:val="6"/>
          <w:sz w:val="26"/>
          <w:szCs w:val="26"/>
        </w:rPr>
      </w:pPr>
      <w:r>
        <w:rPr>
          <w:spacing w:val="6"/>
          <w:sz w:val="26"/>
          <w:szCs w:val="26"/>
        </w:rPr>
        <w:br w:type="page"/>
      </w:r>
    </w:p>
    <w:p w14:paraId="7C672543" w14:textId="77777777" w:rsidR="00B73148" w:rsidRPr="00316B3E" w:rsidRDefault="00B73148" w:rsidP="00C854F8">
      <w:pPr>
        <w:numPr>
          <w:ilvl w:val="2"/>
          <w:numId w:val="15"/>
        </w:numPr>
        <w:tabs>
          <w:tab w:val="num" w:pos="2520"/>
        </w:tabs>
        <w:spacing w:line="280" w:lineRule="atLeast"/>
        <w:jc w:val="both"/>
        <w:rPr>
          <w:b/>
          <w:color w:val="FF0000"/>
          <w:spacing w:val="6"/>
          <w:sz w:val="22"/>
          <w:szCs w:val="22"/>
        </w:rPr>
      </w:pPr>
      <w:bookmarkStart w:id="46" w:name="cuadro213"/>
      <w:bookmarkStart w:id="47" w:name="_Hlk155866437"/>
      <w:bookmarkEnd w:id="46"/>
      <w:r>
        <w:rPr>
          <w:b/>
          <w:spacing w:val="6"/>
          <w:sz w:val="26"/>
          <w:szCs w:val="26"/>
        </w:rPr>
        <w:lastRenderedPageBreak/>
        <w:t>Cuadro inmobiliario</w:t>
      </w:r>
    </w:p>
    <w:p w14:paraId="1C0D78FF" w14:textId="77777777" w:rsidR="00316B3E" w:rsidRPr="002F2B28" w:rsidRDefault="00316B3E" w:rsidP="00316B3E">
      <w:pPr>
        <w:tabs>
          <w:tab w:val="num" w:pos="2520"/>
        </w:tabs>
        <w:spacing w:line="280" w:lineRule="atLeast"/>
        <w:ind w:left="1224"/>
        <w:jc w:val="both"/>
        <w:rPr>
          <w:b/>
          <w:color w:val="FF0000"/>
          <w:spacing w:val="6"/>
          <w:sz w:val="22"/>
          <w:szCs w:val="22"/>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2252"/>
        <w:gridCol w:w="2032"/>
      </w:tblGrid>
      <w:tr w:rsidR="00B73148" w:rsidRPr="00B73148" w14:paraId="54DACDD6" w14:textId="77777777" w:rsidTr="00F273BE">
        <w:trPr>
          <w:trHeight w:val="478"/>
        </w:trPr>
        <w:tc>
          <w:tcPr>
            <w:tcW w:w="2757" w:type="dxa"/>
            <w:vMerge w:val="restart"/>
            <w:tcBorders>
              <w:top w:val="nil"/>
              <w:left w:val="nil"/>
              <w:right w:val="single" w:sz="18" w:space="0" w:color="auto"/>
            </w:tcBorders>
            <w:vAlign w:val="center"/>
          </w:tcPr>
          <w:p w14:paraId="4BE799A4" w14:textId="77777777" w:rsidR="00B73148" w:rsidRPr="00B73148" w:rsidRDefault="00B73148" w:rsidP="00B73148">
            <w:pPr>
              <w:spacing w:line="280" w:lineRule="atLeast"/>
              <w:jc w:val="center"/>
              <w:rPr>
                <w:spacing w:val="6"/>
                <w:sz w:val="26"/>
                <w:szCs w:val="26"/>
              </w:rPr>
            </w:pPr>
          </w:p>
        </w:tc>
        <w:tc>
          <w:tcPr>
            <w:tcW w:w="4284" w:type="dxa"/>
            <w:gridSpan w:val="2"/>
            <w:tcBorders>
              <w:top w:val="single" w:sz="18" w:space="0" w:color="auto"/>
              <w:left w:val="single" w:sz="18" w:space="0" w:color="auto"/>
              <w:bottom w:val="single" w:sz="18" w:space="0" w:color="auto"/>
              <w:right w:val="single" w:sz="18" w:space="0" w:color="auto"/>
            </w:tcBorders>
            <w:shd w:val="clear" w:color="auto" w:fill="ACB9CA"/>
            <w:vAlign w:val="center"/>
          </w:tcPr>
          <w:p w14:paraId="0EFDFB9A" w14:textId="77777777" w:rsidR="00B73148" w:rsidRPr="00B73148" w:rsidRDefault="00B73148" w:rsidP="002C2D0A">
            <w:pPr>
              <w:spacing w:before="60" w:line="240" w:lineRule="exact"/>
              <w:jc w:val="center"/>
              <w:rPr>
                <w:b/>
                <w:spacing w:val="6"/>
                <w:sz w:val="28"/>
                <w:szCs w:val="28"/>
              </w:rPr>
            </w:pPr>
            <w:r w:rsidRPr="00B73148">
              <w:rPr>
                <w:b/>
                <w:spacing w:val="6"/>
                <w:sz w:val="28"/>
                <w:szCs w:val="28"/>
              </w:rPr>
              <w:t>ITPO y AJD inmuebles Asturias</w:t>
            </w:r>
          </w:p>
          <w:p w14:paraId="40AA0050" w14:textId="77777777" w:rsidR="00B73148" w:rsidRPr="00F273BE" w:rsidRDefault="00B73148" w:rsidP="00F273BE">
            <w:pPr>
              <w:spacing w:after="20" w:line="240" w:lineRule="exact"/>
              <w:jc w:val="center"/>
              <w:rPr>
                <w:b/>
                <w:spacing w:val="6"/>
                <w:sz w:val="22"/>
                <w:szCs w:val="22"/>
              </w:rPr>
            </w:pPr>
            <w:hyperlink r:id="rId110" w:history="1">
              <w:r w:rsidRPr="00F273BE">
                <w:rPr>
                  <w:bCs/>
                  <w:color w:val="0000FF"/>
                  <w:spacing w:val="6"/>
                  <w:sz w:val="22"/>
                  <w:szCs w:val="22"/>
                  <w:u w:val="single"/>
                </w:rPr>
                <w:t>Decreto-legislativo 2/2014</w:t>
              </w:r>
            </w:hyperlink>
          </w:p>
        </w:tc>
      </w:tr>
      <w:tr w:rsidR="00B73148" w:rsidRPr="00B73148" w14:paraId="5BAAFD93" w14:textId="77777777" w:rsidTr="00E01333">
        <w:trPr>
          <w:trHeight w:val="275"/>
        </w:trPr>
        <w:tc>
          <w:tcPr>
            <w:tcW w:w="2757" w:type="dxa"/>
            <w:vMerge/>
            <w:tcBorders>
              <w:left w:val="nil"/>
              <w:right w:val="single" w:sz="18" w:space="0" w:color="auto"/>
            </w:tcBorders>
            <w:vAlign w:val="center"/>
          </w:tcPr>
          <w:p w14:paraId="69175D3C" w14:textId="77777777" w:rsidR="00B73148" w:rsidRPr="00B73148" w:rsidRDefault="00B73148" w:rsidP="00B73148">
            <w:pPr>
              <w:spacing w:line="280" w:lineRule="atLeast"/>
              <w:jc w:val="center"/>
              <w:rPr>
                <w:spacing w:val="6"/>
                <w:sz w:val="26"/>
                <w:szCs w:val="26"/>
              </w:rPr>
            </w:pPr>
          </w:p>
        </w:tc>
        <w:tc>
          <w:tcPr>
            <w:tcW w:w="4284" w:type="dxa"/>
            <w:gridSpan w:val="2"/>
            <w:tcBorders>
              <w:top w:val="single" w:sz="18" w:space="0" w:color="auto"/>
              <w:left w:val="single" w:sz="18" w:space="0" w:color="auto"/>
              <w:bottom w:val="single" w:sz="18" w:space="0" w:color="auto"/>
              <w:right w:val="single" w:sz="18" w:space="0" w:color="auto"/>
            </w:tcBorders>
            <w:shd w:val="clear" w:color="auto" w:fill="ACB9CA"/>
            <w:vAlign w:val="center"/>
          </w:tcPr>
          <w:p w14:paraId="4060C67A" w14:textId="77777777" w:rsidR="00B73148" w:rsidRPr="00B73148" w:rsidRDefault="00B73148" w:rsidP="00F273BE">
            <w:pPr>
              <w:spacing w:after="20" w:line="280" w:lineRule="atLeast"/>
              <w:jc w:val="center"/>
              <w:rPr>
                <w:spacing w:val="6"/>
                <w:sz w:val="24"/>
                <w:szCs w:val="24"/>
              </w:rPr>
            </w:pPr>
            <w:r w:rsidRPr="00B73148">
              <w:rPr>
                <w:spacing w:val="6"/>
                <w:sz w:val="24"/>
                <w:szCs w:val="24"/>
              </w:rPr>
              <w:t>AJD préstamos hipotecarios: 1,5%</w:t>
            </w:r>
          </w:p>
        </w:tc>
      </w:tr>
      <w:tr w:rsidR="00B73148" w:rsidRPr="00B73148" w14:paraId="504C5BA9" w14:textId="77777777" w:rsidTr="00E01333">
        <w:tc>
          <w:tcPr>
            <w:tcW w:w="2757" w:type="dxa"/>
            <w:vMerge/>
            <w:tcBorders>
              <w:left w:val="nil"/>
              <w:bottom w:val="single" w:sz="18" w:space="0" w:color="auto"/>
              <w:right w:val="single" w:sz="18" w:space="0" w:color="auto"/>
            </w:tcBorders>
            <w:vAlign w:val="center"/>
          </w:tcPr>
          <w:p w14:paraId="49CEE6A4" w14:textId="77777777" w:rsidR="00B73148" w:rsidRPr="00B73148" w:rsidRDefault="00B73148" w:rsidP="00B73148">
            <w:pPr>
              <w:spacing w:line="280" w:lineRule="atLeast"/>
              <w:jc w:val="center"/>
              <w:rPr>
                <w:spacing w:val="6"/>
                <w:sz w:val="26"/>
                <w:szCs w:val="26"/>
              </w:rPr>
            </w:pPr>
          </w:p>
        </w:tc>
        <w:tc>
          <w:tcPr>
            <w:tcW w:w="2252" w:type="dxa"/>
            <w:tcBorders>
              <w:top w:val="single" w:sz="18" w:space="0" w:color="auto"/>
              <w:left w:val="single" w:sz="18" w:space="0" w:color="auto"/>
              <w:bottom w:val="single" w:sz="18" w:space="0" w:color="auto"/>
            </w:tcBorders>
            <w:shd w:val="clear" w:color="auto" w:fill="ACB9CA"/>
            <w:vAlign w:val="center"/>
          </w:tcPr>
          <w:p w14:paraId="2172ED2F" w14:textId="77777777" w:rsidR="00B73148" w:rsidRPr="00B73148" w:rsidRDefault="00B73148" w:rsidP="00B73148">
            <w:pPr>
              <w:spacing w:line="280" w:lineRule="atLeast"/>
              <w:jc w:val="center"/>
              <w:rPr>
                <w:b/>
                <w:spacing w:val="6"/>
                <w:sz w:val="28"/>
                <w:szCs w:val="28"/>
              </w:rPr>
            </w:pPr>
            <w:r w:rsidRPr="00B73148">
              <w:rPr>
                <w:b/>
                <w:spacing w:val="6"/>
                <w:sz w:val="28"/>
                <w:szCs w:val="28"/>
              </w:rPr>
              <w:t>TPO</w:t>
            </w:r>
          </w:p>
        </w:tc>
        <w:tc>
          <w:tcPr>
            <w:tcW w:w="2032" w:type="dxa"/>
            <w:tcBorders>
              <w:top w:val="single" w:sz="18" w:space="0" w:color="auto"/>
              <w:bottom w:val="single" w:sz="18" w:space="0" w:color="auto"/>
              <w:right w:val="single" w:sz="18" w:space="0" w:color="auto"/>
            </w:tcBorders>
            <w:shd w:val="clear" w:color="auto" w:fill="ACB9CA"/>
            <w:vAlign w:val="center"/>
          </w:tcPr>
          <w:p w14:paraId="5101E21D" w14:textId="77777777" w:rsidR="00B73148" w:rsidRPr="00B73148" w:rsidRDefault="00B73148" w:rsidP="00B73148">
            <w:pPr>
              <w:spacing w:line="280" w:lineRule="atLeast"/>
              <w:jc w:val="center"/>
              <w:rPr>
                <w:b/>
                <w:spacing w:val="6"/>
                <w:sz w:val="28"/>
                <w:szCs w:val="28"/>
              </w:rPr>
            </w:pPr>
            <w:r w:rsidRPr="00B73148">
              <w:rPr>
                <w:b/>
                <w:spacing w:val="6"/>
                <w:sz w:val="28"/>
                <w:szCs w:val="28"/>
              </w:rPr>
              <w:t>AJD</w:t>
            </w:r>
          </w:p>
        </w:tc>
      </w:tr>
      <w:tr w:rsidR="00B73148" w:rsidRPr="00B73148" w14:paraId="65DEEB8E" w14:textId="77777777" w:rsidTr="00576FFA">
        <w:trPr>
          <w:trHeight w:val="700"/>
        </w:trPr>
        <w:tc>
          <w:tcPr>
            <w:tcW w:w="2757" w:type="dxa"/>
            <w:vMerge w:val="restart"/>
            <w:tcBorders>
              <w:top w:val="single" w:sz="18" w:space="0" w:color="auto"/>
              <w:left w:val="single" w:sz="18" w:space="0" w:color="auto"/>
              <w:right w:val="single" w:sz="18" w:space="0" w:color="auto"/>
            </w:tcBorders>
            <w:vAlign w:val="center"/>
          </w:tcPr>
          <w:p w14:paraId="1C65362B" w14:textId="77777777" w:rsidR="00B73148" w:rsidRPr="00B73148" w:rsidRDefault="00B73148" w:rsidP="00401123">
            <w:pPr>
              <w:spacing w:before="60" w:line="240" w:lineRule="exact"/>
              <w:jc w:val="center"/>
              <w:rPr>
                <w:b/>
                <w:color w:val="000000"/>
                <w:spacing w:val="6"/>
                <w:sz w:val="24"/>
                <w:szCs w:val="24"/>
              </w:rPr>
            </w:pPr>
            <w:r w:rsidRPr="00B73148">
              <w:rPr>
                <w:b/>
                <w:color w:val="000000"/>
                <w:spacing w:val="6"/>
                <w:sz w:val="24"/>
                <w:szCs w:val="24"/>
              </w:rPr>
              <w:t>Inmuebles en general</w:t>
            </w:r>
          </w:p>
          <w:p w14:paraId="71DBC5F1" w14:textId="77777777" w:rsidR="00B73148" w:rsidRPr="00F273BE" w:rsidRDefault="00B73148" w:rsidP="00CC22AE">
            <w:pPr>
              <w:spacing w:after="60" w:line="240" w:lineRule="exact"/>
              <w:jc w:val="center"/>
              <w:rPr>
                <w:color w:val="000000"/>
                <w:spacing w:val="6"/>
              </w:rPr>
            </w:pPr>
            <w:hyperlink r:id="rId111" w:anchor="a26" w:history="1">
              <w:r w:rsidRPr="00F273BE">
                <w:rPr>
                  <w:color w:val="0563C1"/>
                  <w:spacing w:val="6"/>
                  <w:u w:val="single"/>
                </w:rPr>
                <w:t>arts. 26 y 34</w:t>
              </w:r>
            </w:hyperlink>
          </w:p>
          <w:p w14:paraId="1745A2D8" w14:textId="77777777" w:rsidR="00B73148" w:rsidRPr="00B73148" w:rsidRDefault="00B73148" w:rsidP="00CC22AE">
            <w:pPr>
              <w:spacing w:line="160" w:lineRule="exact"/>
              <w:jc w:val="both"/>
              <w:rPr>
                <w:spacing w:val="6"/>
                <w:sz w:val="16"/>
                <w:szCs w:val="16"/>
              </w:rPr>
            </w:pPr>
            <w:hyperlink r:id="rId112" w:history="1">
              <w:r w:rsidRPr="00B73148">
                <w:rPr>
                  <w:color w:val="0000FF"/>
                  <w:spacing w:val="6"/>
                  <w:sz w:val="16"/>
                  <w:szCs w:val="16"/>
                  <w:u w:val="single"/>
                </w:rPr>
                <w:t>Consulta 1/2018</w:t>
              </w:r>
            </w:hyperlink>
            <w:r w:rsidRPr="00B73148">
              <w:rPr>
                <w:spacing w:val="6"/>
                <w:sz w:val="16"/>
                <w:szCs w:val="16"/>
              </w:rPr>
              <w:t xml:space="preserve">: En función del valor total (no por tramos). </w:t>
            </w:r>
          </w:p>
          <w:p w14:paraId="6584E859" w14:textId="77777777" w:rsidR="00B73148" w:rsidRPr="00B73148" w:rsidRDefault="00B73148" w:rsidP="00CC22AE">
            <w:pPr>
              <w:spacing w:after="60" w:line="160" w:lineRule="exact"/>
              <w:jc w:val="both"/>
              <w:rPr>
                <w:spacing w:val="6"/>
                <w:sz w:val="16"/>
                <w:szCs w:val="16"/>
              </w:rPr>
            </w:pPr>
            <w:r w:rsidRPr="00B73148">
              <w:rPr>
                <w:spacing w:val="6"/>
                <w:sz w:val="16"/>
                <w:szCs w:val="16"/>
              </w:rPr>
              <w:t>Se incluye garajes/trasteros anejos. En participaciones se atiende al valor total, salvo las que asignan garajes/trasteros como fincas registrales independientes.</w:t>
            </w:r>
            <w:r w:rsidRPr="00B73148">
              <w:rPr>
                <w:spacing w:val="6"/>
                <w:sz w:val="16"/>
                <w:szCs w:val="16"/>
              </w:rPr>
              <w:br/>
              <w:t>En adquisiciones gananciales se toma el valor conjunto.</w:t>
            </w:r>
          </w:p>
        </w:tc>
        <w:tc>
          <w:tcPr>
            <w:tcW w:w="2252" w:type="dxa"/>
            <w:tcBorders>
              <w:top w:val="single" w:sz="18" w:space="0" w:color="auto"/>
              <w:left w:val="single" w:sz="18" w:space="0" w:color="auto"/>
              <w:bottom w:val="single" w:sz="6" w:space="0" w:color="auto"/>
            </w:tcBorders>
            <w:vAlign w:val="center"/>
          </w:tcPr>
          <w:p w14:paraId="36D27ACB" w14:textId="77777777" w:rsidR="00B73148" w:rsidRPr="00B73148" w:rsidRDefault="00B73148" w:rsidP="00576FFA">
            <w:pPr>
              <w:spacing w:before="60" w:line="240" w:lineRule="exact"/>
              <w:jc w:val="center"/>
              <w:rPr>
                <w:b/>
                <w:color w:val="000000"/>
                <w:spacing w:val="6"/>
                <w:sz w:val="26"/>
                <w:szCs w:val="26"/>
              </w:rPr>
            </w:pPr>
            <w:r w:rsidRPr="00B73148">
              <w:rPr>
                <w:b/>
                <w:color w:val="000000"/>
                <w:spacing w:val="6"/>
                <w:sz w:val="26"/>
                <w:szCs w:val="26"/>
              </w:rPr>
              <w:t>8%</w:t>
            </w:r>
          </w:p>
          <w:p w14:paraId="43BD9D21" w14:textId="77777777" w:rsidR="00B73148" w:rsidRPr="00576FFA" w:rsidRDefault="00B73148" w:rsidP="00576FFA">
            <w:pPr>
              <w:spacing w:after="20" w:line="240" w:lineRule="exact"/>
              <w:jc w:val="center"/>
              <w:rPr>
                <w:color w:val="000000"/>
                <w:spacing w:val="6"/>
                <w:sz w:val="24"/>
                <w:szCs w:val="24"/>
              </w:rPr>
            </w:pPr>
            <w:r w:rsidRPr="00576FFA">
              <w:rPr>
                <w:color w:val="000000"/>
                <w:spacing w:val="6"/>
                <w:sz w:val="24"/>
                <w:szCs w:val="24"/>
              </w:rPr>
              <w:t>hasta 300.000 €</w:t>
            </w:r>
          </w:p>
        </w:tc>
        <w:tc>
          <w:tcPr>
            <w:tcW w:w="2032" w:type="dxa"/>
            <w:vMerge w:val="restart"/>
            <w:tcBorders>
              <w:top w:val="single" w:sz="18" w:space="0" w:color="auto"/>
              <w:right w:val="single" w:sz="18" w:space="0" w:color="auto"/>
            </w:tcBorders>
            <w:vAlign w:val="center"/>
          </w:tcPr>
          <w:p w14:paraId="5C41DD98" w14:textId="77777777" w:rsidR="00B73148" w:rsidRPr="00B73148" w:rsidRDefault="00B73148" w:rsidP="00B73148">
            <w:pPr>
              <w:spacing w:line="280" w:lineRule="atLeast"/>
              <w:jc w:val="center"/>
              <w:rPr>
                <w:b/>
                <w:color w:val="FF0000"/>
                <w:spacing w:val="6"/>
                <w:sz w:val="26"/>
                <w:szCs w:val="26"/>
              </w:rPr>
            </w:pPr>
            <w:r w:rsidRPr="00B73148">
              <w:rPr>
                <w:b/>
                <w:color w:val="000000"/>
                <w:spacing w:val="6"/>
                <w:sz w:val="26"/>
                <w:szCs w:val="26"/>
              </w:rPr>
              <w:t>1,2%</w:t>
            </w:r>
          </w:p>
        </w:tc>
      </w:tr>
      <w:tr w:rsidR="00B73148" w:rsidRPr="00B73148" w14:paraId="682E16CC" w14:textId="77777777" w:rsidTr="00576FFA">
        <w:trPr>
          <w:trHeight w:val="854"/>
        </w:trPr>
        <w:tc>
          <w:tcPr>
            <w:tcW w:w="2757" w:type="dxa"/>
            <w:vMerge/>
            <w:tcBorders>
              <w:left w:val="single" w:sz="18" w:space="0" w:color="auto"/>
              <w:right w:val="single" w:sz="18" w:space="0" w:color="auto"/>
            </w:tcBorders>
            <w:vAlign w:val="center"/>
          </w:tcPr>
          <w:p w14:paraId="33FF9089" w14:textId="77777777" w:rsidR="00B73148" w:rsidRPr="00B73148" w:rsidRDefault="00B73148" w:rsidP="00B73148">
            <w:pPr>
              <w:spacing w:line="280" w:lineRule="atLeast"/>
              <w:jc w:val="center"/>
              <w:rPr>
                <w:b/>
                <w:color w:val="FF0000"/>
                <w:spacing w:val="6"/>
                <w:sz w:val="24"/>
                <w:szCs w:val="24"/>
              </w:rPr>
            </w:pPr>
          </w:p>
        </w:tc>
        <w:tc>
          <w:tcPr>
            <w:tcW w:w="2252" w:type="dxa"/>
            <w:tcBorders>
              <w:top w:val="single" w:sz="6" w:space="0" w:color="auto"/>
              <w:left w:val="single" w:sz="18" w:space="0" w:color="auto"/>
              <w:bottom w:val="single" w:sz="6" w:space="0" w:color="auto"/>
            </w:tcBorders>
            <w:vAlign w:val="center"/>
          </w:tcPr>
          <w:p w14:paraId="6E58AB76" w14:textId="77777777" w:rsidR="00B73148" w:rsidRPr="00B73148" w:rsidRDefault="00B73148" w:rsidP="00B73148">
            <w:pPr>
              <w:spacing w:line="280" w:lineRule="atLeast"/>
              <w:jc w:val="center"/>
              <w:rPr>
                <w:b/>
                <w:color w:val="000000"/>
                <w:spacing w:val="6"/>
                <w:sz w:val="26"/>
                <w:szCs w:val="26"/>
              </w:rPr>
            </w:pPr>
            <w:r w:rsidRPr="00B73148">
              <w:rPr>
                <w:b/>
                <w:color w:val="000000"/>
                <w:spacing w:val="6"/>
                <w:sz w:val="26"/>
                <w:szCs w:val="26"/>
              </w:rPr>
              <w:t>9%</w:t>
            </w:r>
          </w:p>
          <w:p w14:paraId="5AB6C9F2" w14:textId="77777777" w:rsidR="00B73148" w:rsidRPr="00576FFA" w:rsidRDefault="00B73148" w:rsidP="00576FFA">
            <w:pPr>
              <w:spacing w:line="220" w:lineRule="exact"/>
              <w:jc w:val="center"/>
              <w:rPr>
                <w:color w:val="000000"/>
                <w:spacing w:val="6"/>
                <w:sz w:val="24"/>
                <w:szCs w:val="24"/>
              </w:rPr>
            </w:pPr>
            <w:r w:rsidRPr="00576FFA">
              <w:rPr>
                <w:color w:val="000000"/>
                <w:spacing w:val="6"/>
                <w:sz w:val="24"/>
                <w:szCs w:val="24"/>
              </w:rPr>
              <w:t>desde 300.001 €</w:t>
            </w:r>
          </w:p>
          <w:p w14:paraId="316E4153" w14:textId="77777777" w:rsidR="00B73148" w:rsidRPr="00B73148" w:rsidRDefault="00B73148" w:rsidP="00576FFA">
            <w:pPr>
              <w:spacing w:line="220" w:lineRule="exact"/>
              <w:jc w:val="center"/>
              <w:rPr>
                <w:b/>
                <w:color w:val="000000"/>
                <w:spacing w:val="6"/>
                <w:sz w:val="26"/>
                <w:szCs w:val="26"/>
              </w:rPr>
            </w:pPr>
            <w:r w:rsidRPr="00576FFA">
              <w:rPr>
                <w:color w:val="000000"/>
                <w:spacing w:val="6"/>
                <w:sz w:val="24"/>
                <w:szCs w:val="24"/>
              </w:rPr>
              <w:t>a 500.000 €</w:t>
            </w:r>
          </w:p>
        </w:tc>
        <w:tc>
          <w:tcPr>
            <w:tcW w:w="2032" w:type="dxa"/>
            <w:vMerge/>
            <w:tcBorders>
              <w:right w:val="single" w:sz="18" w:space="0" w:color="auto"/>
            </w:tcBorders>
            <w:vAlign w:val="center"/>
          </w:tcPr>
          <w:p w14:paraId="6DCCE305" w14:textId="77777777" w:rsidR="00B73148" w:rsidRPr="00B73148" w:rsidRDefault="00B73148" w:rsidP="00B73148">
            <w:pPr>
              <w:spacing w:line="280" w:lineRule="atLeast"/>
              <w:jc w:val="center"/>
              <w:rPr>
                <w:b/>
                <w:color w:val="000000"/>
                <w:spacing w:val="6"/>
                <w:sz w:val="26"/>
                <w:szCs w:val="26"/>
              </w:rPr>
            </w:pPr>
          </w:p>
        </w:tc>
      </w:tr>
      <w:tr w:rsidR="00B73148" w:rsidRPr="00B73148" w14:paraId="55CF0662" w14:textId="77777777" w:rsidTr="006208F9">
        <w:trPr>
          <w:trHeight w:val="154"/>
        </w:trPr>
        <w:tc>
          <w:tcPr>
            <w:tcW w:w="2757" w:type="dxa"/>
            <w:vMerge/>
            <w:tcBorders>
              <w:left w:val="single" w:sz="18" w:space="0" w:color="auto"/>
              <w:bottom w:val="single" w:sz="12" w:space="0" w:color="auto"/>
              <w:right w:val="single" w:sz="18" w:space="0" w:color="auto"/>
            </w:tcBorders>
            <w:vAlign w:val="center"/>
          </w:tcPr>
          <w:p w14:paraId="4B2D842C" w14:textId="77777777" w:rsidR="00B73148" w:rsidRPr="00B73148" w:rsidRDefault="00B73148" w:rsidP="00B73148">
            <w:pPr>
              <w:spacing w:line="280" w:lineRule="atLeast"/>
              <w:jc w:val="center"/>
              <w:rPr>
                <w:b/>
                <w:color w:val="FF0000"/>
                <w:spacing w:val="6"/>
                <w:sz w:val="24"/>
                <w:szCs w:val="24"/>
              </w:rPr>
            </w:pPr>
          </w:p>
        </w:tc>
        <w:tc>
          <w:tcPr>
            <w:tcW w:w="2252" w:type="dxa"/>
            <w:tcBorders>
              <w:top w:val="single" w:sz="6" w:space="0" w:color="auto"/>
              <w:left w:val="single" w:sz="18" w:space="0" w:color="auto"/>
              <w:bottom w:val="single" w:sz="12" w:space="0" w:color="auto"/>
            </w:tcBorders>
            <w:vAlign w:val="center"/>
          </w:tcPr>
          <w:p w14:paraId="2C3473B0" w14:textId="77777777" w:rsidR="00B73148" w:rsidRPr="00B73148" w:rsidRDefault="00B73148" w:rsidP="00576FFA">
            <w:pPr>
              <w:spacing w:line="240" w:lineRule="exact"/>
              <w:jc w:val="center"/>
              <w:rPr>
                <w:b/>
                <w:color w:val="000000"/>
                <w:spacing w:val="6"/>
                <w:sz w:val="26"/>
                <w:szCs w:val="26"/>
              </w:rPr>
            </w:pPr>
            <w:r w:rsidRPr="00B73148">
              <w:rPr>
                <w:b/>
                <w:color w:val="000000"/>
                <w:spacing w:val="6"/>
                <w:sz w:val="26"/>
                <w:szCs w:val="26"/>
              </w:rPr>
              <w:t>10%</w:t>
            </w:r>
          </w:p>
          <w:p w14:paraId="7346E965" w14:textId="77777777" w:rsidR="00B73148" w:rsidRPr="00576FFA" w:rsidRDefault="00B73148" w:rsidP="00576FFA">
            <w:pPr>
              <w:spacing w:line="240" w:lineRule="exact"/>
              <w:jc w:val="center"/>
              <w:rPr>
                <w:color w:val="000000"/>
                <w:spacing w:val="6"/>
                <w:sz w:val="24"/>
                <w:szCs w:val="24"/>
              </w:rPr>
            </w:pPr>
            <w:r w:rsidRPr="00576FFA">
              <w:rPr>
                <w:color w:val="000000"/>
                <w:spacing w:val="6"/>
                <w:sz w:val="24"/>
                <w:szCs w:val="24"/>
              </w:rPr>
              <w:t>desde 500.001 €</w:t>
            </w:r>
          </w:p>
        </w:tc>
        <w:tc>
          <w:tcPr>
            <w:tcW w:w="2032" w:type="dxa"/>
            <w:vMerge/>
            <w:tcBorders>
              <w:bottom w:val="single" w:sz="12" w:space="0" w:color="auto"/>
              <w:right w:val="single" w:sz="18" w:space="0" w:color="auto"/>
            </w:tcBorders>
            <w:vAlign w:val="center"/>
          </w:tcPr>
          <w:p w14:paraId="0274CC52" w14:textId="77777777" w:rsidR="00B73148" w:rsidRPr="00B73148" w:rsidRDefault="00B73148" w:rsidP="00B73148">
            <w:pPr>
              <w:spacing w:line="280" w:lineRule="atLeast"/>
              <w:jc w:val="center"/>
              <w:rPr>
                <w:b/>
                <w:color w:val="000000"/>
                <w:spacing w:val="6"/>
                <w:sz w:val="26"/>
                <w:szCs w:val="26"/>
              </w:rPr>
            </w:pPr>
          </w:p>
        </w:tc>
      </w:tr>
      <w:tr w:rsidR="00F273BE" w:rsidRPr="00B73148" w14:paraId="2ACDDBAE" w14:textId="77777777" w:rsidTr="00304E66">
        <w:trPr>
          <w:trHeight w:val="451"/>
        </w:trPr>
        <w:tc>
          <w:tcPr>
            <w:tcW w:w="2757" w:type="dxa"/>
            <w:tcBorders>
              <w:left w:val="single" w:sz="18" w:space="0" w:color="auto"/>
              <w:bottom w:val="single" w:sz="12" w:space="0" w:color="auto"/>
              <w:right w:val="single" w:sz="18" w:space="0" w:color="auto"/>
            </w:tcBorders>
            <w:shd w:val="clear" w:color="auto" w:fill="E7E6E6"/>
            <w:vAlign w:val="center"/>
          </w:tcPr>
          <w:p w14:paraId="0234B7F9" w14:textId="77777777" w:rsidR="00F273BE" w:rsidRDefault="00F273BE" w:rsidP="00D347D3">
            <w:pPr>
              <w:spacing w:line="180" w:lineRule="atLeast"/>
              <w:jc w:val="center"/>
              <w:rPr>
                <w:b/>
                <w:color w:val="000000"/>
                <w:spacing w:val="6"/>
                <w:sz w:val="18"/>
                <w:szCs w:val="18"/>
              </w:rPr>
            </w:pPr>
            <w:r w:rsidRPr="008E2E05">
              <w:rPr>
                <w:b/>
                <w:color w:val="000000"/>
                <w:spacing w:val="6"/>
                <w:sz w:val="18"/>
                <w:szCs w:val="18"/>
              </w:rPr>
              <w:t>Vivienda por gran tenedor o edificios vivienda uso turístico</w:t>
            </w:r>
          </w:p>
          <w:p w14:paraId="3B8271D2" w14:textId="77777777" w:rsidR="003E56B6" w:rsidRPr="008E2E05" w:rsidRDefault="003E56B6" w:rsidP="00E951C1">
            <w:pPr>
              <w:spacing w:after="20" w:line="180" w:lineRule="exact"/>
              <w:jc w:val="center"/>
              <w:rPr>
                <w:b/>
                <w:color w:val="000000"/>
                <w:spacing w:val="6"/>
                <w:sz w:val="18"/>
                <w:szCs w:val="18"/>
              </w:rPr>
            </w:pPr>
            <w:hyperlink r:id="rId113" w:anchor="a31b" w:history="1">
              <w:r w:rsidRPr="00304E66">
                <w:rPr>
                  <w:rStyle w:val="Hipervnculo"/>
                  <w:spacing w:val="6"/>
                </w:rPr>
                <w:t>art. 3</w:t>
              </w:r>
              <w:r w:rsidR="00304E66" w:rsidRPr="00304E66">
                <w:rPr>
                  <w:rStyle w:val="Hipervnculo"/>
                  <w:spacing w:val="6"/>
                </w:rPr>
                <w:t>1</w:t>
              </w:r>
              <w:r w:rsidRPr="00304E66">
                <w:rPr>
                  <w:rStyle w:val="Hipervnculo"/>
                  <w:spacing w:val="6"/>
                </w:rPr>
                <w:t xml:space="preserve"> bis</w:t>
              </w:r>
            </w:hyperlink>
          </w:p>
        </w:tc>
        <w:tc>
          <w:tcPr>
            <w:tcW w:w="2252" w:type="dxa"/>
            <w:tcBorders>
              <w:top w:val="single" w:sz="6" w:space="0" w:color="auto"/>
              <w:left w:val="single" w:sz="18" w:space="0" w:color="auto"/>
              <w:bottom w:val="single" w:sz="12" w:space="0" w:color="auto"/>
            </w:tcBorders>
            <w:shd w:val="clear" w:color="auto" w:fill="E7E6E6"/>
            <w:vAlign w:val="center"/>
          </w:tcPr>
          <w:p w14:paraId="16555F22" w14:textId="77777777" w:rsidR="00F273BE" w:rsidRPr="002F2B28" w:rsidRDefault="00F273BE" w:rsidP="002F2B28">
            <w:pPr>
              <w:spacing w:before="40" w:line="200" w:lineRule="exact"/>
              <w:jc w:val="center"/>
              <w:rPr>
                <w:b/>
                <w:color w:val="000000"/>
                <w:spacing w:val="6"/>
                <w:sz w:val="22"/>
                <w:szCs w:val="22"/>
              </w:rPr>
            </w:pPr>
            <w:r w:rsidRPr="002F2B28">
              <w:rPr>
                <w:b/>
                <w:color w:val="000000"/>
                <w:spacing w:val="6"/>
                <w:sz w:val="22"/>
                <w:szCs w:val="22"/>
              </w:rPr>
              <w:t>20%</w:t>
            </w:r>
          </w:p>
          <w:p w14:paraId="642F5DA9" w14:textId="77777777" w:rsidR="00F273BE" w:rsidRPr="002F2B28" w:rsidRDefault="00F273BE" w:rsidP="002F2B28">
            <w:pPr>
              <w:spacing w:line="200" w:lineRule="exact"/>
              <w:jc w:val="center"/>
              <w:rPr>
                <w:b/>
                <w:color w:val="000000"/>
                <w:spacing w:val="6"/>
              </w:rPr>
            </w:pPr>
            <w:r w:rsidRPr="002F2B28">
              <w:rPr>
                <w:color w:val="000000"/>
                <w:spacing w:val="6"/>
              </w:rPr>
              <w:t>(desde 03/12/2025)</w:t>
            </w:r>
          </w:p>
        </w:tc>
        <w:tc>
          <w:tcPr>
            <w:tcW w:w="2032" w:type="dxa"/>
            <w:tcBorders>
              <w:bottom w:val="single" w:sz="12" w:space="0" w:color="auto"/>
              <w:right w:val="single" w:sz="18" w:space="0" w:color="auto"/>
            </w:tcBorders>
            <w:shd w:val="clear" w:color="auto" w:fill="E7E6E6"/>
            <w:vAlign w:val="center"/>
          </w:tcPr>
          <w:p w14:paraId="08291316" w14:textId="77777777" w:rsidR="00F273BE" w:rsidRPr="00B73148" w:rsidRDefault="00F273BE" w:rsidP="00B73148">
            <w:pPr>
              <w:spacing w:line="280" w:lineRule="atLeast"/>
              <w:jc w:val="center"/>
              <w:rPr>
                <w:b/>
                <w:color w:val="000000"/>
                <w:spacing w:val="6"/>
                <w:sz w:val="26"/>
                <w:szCs w:val="26"/>
              </w:rPr>
            </w:pPr>
            <w:r>
              <w:rPr>
                <w:b/>
                <w:color w:val="000000"/>
                <w:spacing w:val="6"/>
                <w:sz w:val="26"/>
                <w:szCs w:val="26"/>
              </w:rPr>
              <w:t>-</w:t>
            </w:r>
          </w:p>
        </w:tc>
      </w:tr>
      <w:tr w:rsidR="009205C4" w:rsidRPr="00B73148" w14:paraId="22279811" w14:textId="77777777" w:rsidTr="00F273BE">
        <w:trPr>
          <w:trHeight w:val="351"/>
        </w:trPr>
        <w:tc>
          <w:tcPr>
            <w:tcW w:w="2757" w:type="dxa"/>
            <w:vMerge w:val="restart"/>
            <w:tcBorders>
              <w:top w:val="single" w:sz="12" w:space="0" w:color="auto"/>
              <w:left w:val="single" w:sz="18" w:space="0" w:color="auto"/>
              <w:right w:val="single" w:sz="18" w:space="0" w:color="auto"/>
            </w:tcBorders>
            <w:vAlign w:val="center"/>
          </w:tcPr>
          <w:p w14:paraId="36716DE4" w14:textId="77777777" w:rsidR="009205C4" w:rsidRDefault="009205C4" w:rsidP="00770ECE">
            <w:pPr>
              <w:spacing w:before="60" w:line="220" w:lineRule="exact"/>
              <w:jc w:val="center"/>
              <w:rPr>
                <w:b/>
                <w:spacing w:val="6"/>
                <w:sz w:val="24"/>
                <w:szCs w:val="24"/>
              </w:rPr>
            </w:pPr>
            <w:r>
              <w:rPr>
                <w:b/>
                <w:spacing w:val="6"/>
                <w:sz w:val="24"/>
                <w:szCs w:val="24"/>
              </w:rPr>
              <w:t>Vivienda habitual en</w:t>
            </w:r>
          </w:p>
          <w:p w14:paraId="389188D6" w14:textId="77777777" w:rsidR="009205C4" w:rsidRDefault="009205C4" w:rsidP="00D347D3">
            <w:pPr>
              <w:spacing w:line="180" w:lineRule="exact"/>
              <w:jc w:val="center"/>
              <w:rPr>
                <w:b/>
                <w:spacing w:val="6"/>
                <w:sz w:val="24"/>
                <w:szCs w:val="24"/>
              </w:rPr>
            </w:pPr>
            <w:hyperlink r:id="rId114" w:history="1">
              <w:r w:rsidRPr="00BA7C6B">
                <w:rPr>
                  <w:rStyle w:val="Hipervnculo"/>
                  <w:b/>
                  <w:spacing w:val="6"/>
                  <w:sz w:val="24"/>
                  <w:szCs w:val="24"/>
                </w:rPr>
                <w:t>concejo despoblado</w:t>
              </w:r>
            </w:hyperlink>
            <w:r>
              <w:rPr>
                <w:b/>
                <w:spacing w:val="6"/>
                <w:sz w:val="24"/>
                <w:szCs w:val="24"/>
              </w:rPr>
              <w:t xml:space="preserve"> </w:t>
            </w:r>
            <w:r w:rsidR="00883428">
              <w:rPr>
                <w:b/>
                <w:spacing w:val="6"/>
                <w:sz w:val="16"/>
                <w:szCs w:val="16"/>
              </w:rPr>
              <w:t xml:space="preserve">conforme al </w:t>
            </w:r>
            <w:r w:rsidRPr="00BA7C6B">
              <w:rPr>
                <w:b/>
                <w:spacing w:val="6"/>
                <w:sz w:val="16"/>
                <w:szCs w:val="16"/>
              </w:rPr>
              <w:t xml:space="preserve"> </w:t>
            </w:r>
            <w:hyperlink r:id="rId115" w:history="1">
              <w:r w:rsidR="00883428" w:rsidRPr="00883428">
                <w:rPr>
                  <w:rStyle w:val="Hipervnculo"/>
                  <w:b/>
                  <w:spacing w:val="6"/>
                  <w:sz w:val="16"/>
                  <w:szCs w:val="16"/>
                </w:rPr>
                <w:t>Decreto 83/2025</w:t>
              </w:r>
            </w:hyperlink>
          </w:p>
          <w:p w14:paraId="423B5EBF" w14:textId="77777777" w:rsidR="009205C4" w:rsidRPr="005E1A9C" w:rsidRDefault="009205C4" w:rsidP="00D347D3">
            <w:pPr>
              <w:spacing w:after="40" w:line="200" w:lineRule="exact"/>
              <w:jc w:val="center"/>
              <w:rPr>
                <w:spacing w:val="6"/>
              </w:rPr>
            </w:pPr>
            <w:hyperlink r:id="rId116" w:anchor="a32b" w:history="1">
              <w:r w:rsidRPr="000A6A46">
                <w:rPr>
                  <w:rStyle w:val="Hipervnculo"/>
                  <w:spacing w:val="6"/>
                </w:rPr>
                <w:t>art. 32 bis</w:t>
              </w:r>
            </w:hyperlink>
          </w:p>
        </w:tc>
        <w:tc>
          <w:tcPr>
            <w:tcW w:w="2252" w:type="dxa"/>
            <w:tcBorders>
              <w:top w:val="single" w:sz="12" w:space="0" w:color="auto"/>
              <w:left w:val="single" w:sz="18" w:space="0" w:color="auto"/>
            </w:tcBorders>
            <w:vAlign w:val="center"/>
          </w:tcPr>
          <w:p w14:paraId="7AAE9987" w14:textId="77777777" w:rsidR="009205C4" w:rsidRPr="00770ECE" w:rsidRDefault="009205C4" w:rsidP="009F4C35">
            <w:pPr>
              <w:spacing w:before="60" w:line="200" w:lineRule="exact"/>
              <w:jc w:val="center"/>
              <w:rPr>
                <w:b/>
                <w:spacing w:val="6"/>
              </w:rPr>
            </w:pPr>
            <w:r w:rsidRPr="00770ECE">
              <w:rPr>
                <w:b/>
                <w:spacing w:val="6"/>
              </w:rPr>
              <w:t xml:space="preserve">4% hasta 150.000 </w:t>
            </w:r>
            <w:r>
              <w:rPr>
                <w:b/>
                <w:spacing w:val="6"/>
              </w:rPr>
              <w:t>€</w:t>
            </w:r>
          </w:p>
          <w:p w14:paraId="1744CF93" w14:textId="77777777" w:rsidR="009205C4" w:rsidRPr="00770ECE" w:rsidRDefault="009205C4" w:rsidP="009F4C35">
            <w:pPr>
              <w:spacing w:after="20" w:line="200" w:lineRule="exact"/>
              <w:jc w:val="center"/>
              <w:rPr>
                <w:spacing w:val="6"/>
                <w:sz w:val="18"/>
                <w:szCs w:val="18"/>
              </w:rPr>
            </w:pPr>
            <w:r w:rsidRPr="00770ECE">
              <w:rPr>
                <w:spacing w:val="6"/>
                <w:sz w:val="18"/>
                <w:szCs w:val="18"/>
              </w:rPr>
              <w:t>(desde 01/01/202</w:t>
            </w:r>
            <w:r>
              <w:rPr>
                <w:spacing w:val="6"/>
                <w:sz w:val="18"/>
                <w:szCs w:val="18"/>
              </w:rPr>
              <w:t>4</w:t>
            </w:r>
            <w:r w:rsidRPr="00770ECE">
              <w:rPr>
                <w:spacing w:val="6"/>
                <w:sz w:val="18"/>
                <w:szCs w:val="18"/>
              </w:rPr>
              <w:t>)</w:t>
            </w:r>
          </w:p>
        </w:tc>
        <w:tc>
          <w:tcPr>
            <w:tcW w:w="2032" w:type="dxa"/>
            <w:vMerge w:val="restart"/>
            <w:tcBorders>
              <w:top w:val="single" w:sz="12" w:space="0" w:color="auto"/>
              <w:right w:val="single" w:sz="18" w:space="0" w:color="auto"/>
            </w:tcBorders>
            <w:vAlign w:val="center"/>
          </w:tcPr>
          <w:p w14:paraId="45DBF3DF" w14:textId="77777777" w:rsidR="009205C4" w:rsidRPr="00B73148" w:rsidRDefault="009205C4" w:rsidP="00B73148">
            <w:pPr>
              <w:spacing w:line="280" w:lineRule="atLeast"/>
              <w:jc w:val="center"/>
              <w:rPr>
                <w:b/>
                <w:spacing w:val="6"/>
                <w:sz w:val="26"/>
                <w:szCs w:val="26"/>
              </w:rPr>
            </w:pPr>
            <w:r>
              <w:rPr>
                <w:b/>
                <w:spacing w:val="6"/>
                <w:sz w:val="26"/>
                <w:szCs w:val="26"/>
              </w:rPr>
              <w:t>-</w:t>
            </w:r>
          </w:p>
        </w:tc>
      </w:tr>
      <w:tr w:rsidR="009205C4" w:rsidRPr="00B73148" w14:paraId="07F51FBA" w14:textId="77777777" w:rsidTr="00F273BE">
        <w:trPr>
          <w:trHeight w:val="328"/>
        </w:trPr>
        <w:tc>
          <w:tcPr>
            <w:tcW w:w="2757" w:type="dxa"/>
            <w:vMerge/>
            <w:tcBorders>
              <w:left w:val="single" w:sz="18" w:space="0" w:color="auto"/>
              <w:right w:val="single" w:sz="18" w:space="0" w:color="auto"/>
            </w:tcBorders>
            <w:vAlign w:val="center"/>
          </w:tcPr>
          <w:p w14:paraId="640186C9" w14:textId="77777777" w:rsidR="009205C4" w:rsidRDefault="009205C4" w:rsidP="00770ECE">
            <w:pPr>
              <w:spacing w:before="60" w:line="220" w:lineRule="exact"/>
              <w:jc w:val="center"/>
              <w:rPr>
                <w:b/>
                <w:spacing w:val="6"/>
                <w:sz w:val="24"/>
                <w:szCs w:val="24"/>
              </w:rPr>
            </w:pPr>
          </w:p>
        </w:tc>
        <w:tc>
          <w:tcPr>
            <w:tcW w:w="2252" w:type="dxa"/>
            <w:tcBorders>
              <w:left w:val="single" w:sz="18" w:space="0" w:color="auto"/>
              <w:bottom w:val="single" w:sz="6" w:space="0" w:color="auto"/>
            </w:tcBorders>
            <w:vAlign w:val="center"/>
          </w:tcPr>
          <w:p w14:paraId="299CB938" w14:textId="77777777" w:rsidR="009205C4" w:rsidRPr="00770ECE" w:rsidRDefault="009205C4" w:rsidP="009F4C35">
            <w:pPr>
              <w:spacing w:before="20" w:line="200" w:lineRule="exact"/>
              <w:jc w:val="center"/>
              <w:rPr>
                <w:b/>
                <w:spacing w:val="6"/>
              </w:rPr>
            </w:pPr>
            <w:r>
              <w:rPr>
                <w:b/>
                <w:spacing w:val="6"/>
              </w:rPr>
              <w:t>6</w:t>
            </w:r>
            <w:r w:rsidRPr="00770ECE">
              <w:rPr>
                <w:b/>
                <w:spacing w:val="6"/>
              </w:rPr>
              <w:t xml:space="preserve">% </w:t>
            </w:r>
            <w:r>
              <w:rPr>
                <w:b/>
                <w:spacing w:val="6"/>
              </w:rPr>
              <w:t>más de</w:t>
            </w:r>
            <w:r w:rsidRPr="00770ECE">
              <w:rPr>
                <w:b/>
                <w:spacing w:val="6"/>
              </w:rPr>
              <w:t xml:space="preserve"> 150.00</w:t>
            </w:r>
            <w:r>
              <w:rPr>
                <w:b/>
                <w:spacing w:val="6"/>
              </w:rPr>
              <w:t>0</w:t>
            </w:r>
            <w:r w:rsidRPr="00770ECE">
              <w:rPr>
                <w:b/>
                <w:spacing w:val="6"/>
              </w:rPr>
              <w:t xml:space="preserve"> </w:t>
            </w:r>
            <w:r>
              <w:rPr>
                <w:b/>
                <w:spacing w:val="6"/>
              </w:rPr>
              <w:t>€</w:t>
            </w:r>
          </w:p>
          <w:p w14:paraId="7C7A57E8" w14:textId="77777777" w:rsidR="009205C4" w:rsidRDefault="009205C4" w:rsidP="00D047AC">
            <w:pPr>
              <w:spacing w:after="20" w:line="200" w:lineRule="exact"/>
              <w:jc w:val="center"/>
              <w:rPr>
                <w:b/>
                <w:spacing w:val="6"/>
                <w:sz w:val="26"/>
                <w:szCs w:val="26"/>
              </w:rPr>
            </w:pPr>
            <w:r w:rsidRPr="00770ECE">
              <w:rPr>
                <w:spacing w:val="6"/>
                <w:sz w:val="18"/>
                <w:szCs w:val="18"/>
              </w:rPr>
              <w:t>(desde 01/01/2022)</w:t>
            </w:r>
          </w:p>
        </w:tc>
        <w:tc>
          <w:tcPr>
            <w:tcW w:w="2032" w:type="dxa"/>
            <w:vMerge/>
            <w:tcBorders>
              <w:right w:val="single" w:sz="18" w:space="0" w:color="auto"/>
            </w:tcBorders>
            <w:vAlign w:val="center"/>
          </w:tcPr>
          <w:p w14:paraId="7C8B52D1" w14:textId="77777777" w:rsidR="009205C4" w:rsidRDefault="009205C4" w:rsidP="00B73148">
            <w:pPr>
              <w:spacing w:line="280" w:lineRule="atLeast"/>
              <w:jc w:val="center"/>
              <w:rPr>
                <w:b/>
                <w:spacing w:val="6"/>
                <w:sz w:val="26"/>
                <w:szCs w:val="26"/>
              </w:rPr>
            </w:pPr>
          </w:p>
        </w:tc>
      </w:tr>
      <w:tr w:rsidR="009205C4" w:rsidRPr="00B73148" w14:paraId="43B903DE" w14:textId="77777777" w:rsidTr="00304E66">
        <w:trPr>
          <w:trHeight w:val="107"/>
        </w:trPr>
        <w:tc>
          <w:tcPr>
            <w:tcW w:w="2757" w:type="dxa"/>
            <w:vMerge/>
            <w:tcBorders>
              <w:left w:val="single" w:sz="18" w:space="0" w:color="auto"/>
              <w:bottom w:val="single" w:sz="12" w:space="0" w:color="auto"/>
              <w:right w:val="single" w:sz="18" w:space="0" w:color="auto"/>
            </w:tcBorders>
            <w:vAlign w:val="center"/>
          </w:tcPr>
          <w:p w14:paraId="61CEE987" w14:textId="77777777" w:rsidR="009205C4" w:rsidRDefault="009205C4" w:rsidP="00770ECE">
            <w:pPr>
              <w:spacing w:before="60" w:line="220" w:lineRule="exact"/>
              <w:jc w:val="center"/>
              <w:rPr>
                <w:b/>
                <w:spacing w:val="6"/>
                <w:sz w:val="24"/>
                <w:szCs w:val="24"/>
              </w:rPr>
            </w:pPr>
          </w:p>
        </w:tc>
        <w:tc>
          <w:tcPr>
            <w:tcW w:w="4284" w:type="dxa"/>
            <w:gridSpan w:val="2"/>
            <w:tcBorders>
              <w:top w:val="single" w:sz="6" w:space="0" w:color="auto"/>
              <w:left w:val="single" w:sz="18" w:space="0" w:color="auto"/>
              <w:bottom w:val="single" w:sz="12" w:space="0" w:color="auto"/>
              <w:right w:val="single" w:sz="18" w:space="0" w:color="auto"/>
            </w:tcBorders>
            <w:vAlign w:val="center"/>
          </w:tcPr>
          <w:p w14:paraId="59E1BA68" w14:textId="77777777" w:rsidR="009205C4" w:rsidRDefault="009205C4" w:rsidP="00304E66">
            <w:pPr>
              <w:spacing w:after="20" w:line="200" w:lineRule="atLeast"/>
              <w:jc w:val="center"/>
              <w:rPr>
                <w:b/>
                <w:spacing w:val="6"/>
                <w:sz w:val="26"/>
                <w:szCs w:val="26"/>
              </w:rPr>
            </w:pPr>
            <w:r w:rsidRPr="0019081C">
              <w:rPr>
                <w:spacing w:val="6"/>
              </w:rPr>
              <w:t>Incluyendo 2 garajes y 1 trastero (desde 2025)</w:t>
            </w:r>
          </w:p>
        </w:tc>
      </w:tr>
      <w:tr w:rsidR="003B3872" w:rsidRPr="00B73148" w14:paraId="7C417D92" w14:textId="77777777" w:rsidTr="008E2E05">
        <w:trPr>
          <w:trHeight w:val="388"/>
        </w:trPr>
        <w:tc>
          <w:tcPr>
            <w:tcW w:w="2757" w:type="dxa"/>
            <w:vMerge w:val="restart"/>
            <w:tcBorders>
              <w:top w:val="single" w:sz="12" w:space="0" w:color="auto"/>
              <w:left w:val="single" w:sz="18" w:space="0" w:color="auto"/>
              <w:right w:val="single" w:sz="18" w:space="0" w:color="auto"/>
            </w:tcBorders>
            <w:shd w:val="clear" w:color="auto" w:fill="E7E6E6"/>
            <w:vAlign w:val="center"/>
          </w:tcPr>
          <w:p w14:paraId="2BD63E8E" w14:textId="77777777" w:rsidR="003B3872" w:rsidRDefault="003B3872" w:rsidP="00B054A1">
            <w:pPr>
              <w:spacing w:before="60" w:line="180" w:lineRule="exact"/>
              <w:jc w:val="center"/>
              <w:rPr>
                <w:b/>
                <w:spacing w:val="6"/>
                <w:sz w:val="22"/>
                <w:szCs w:val="22"/>
              </w:rPr>
            </w:pPr>
            <w:r w:rsidRPr="00AF7D23">
              <w:rPr>
                <w:b/>
                <w:spacing w:val="6"/>
                <w:sz w:val="22"/>
                <w:szCs w:val="22"/>
              </w:rPr>
              <w:t>Vivienda habitual por</w:t>
            </w:r>
            <w:r>
              <w:rPr>
                <w:b/>
                <w:spacing w:val="6"/>
                <w:sz w:val="22"/>
                <w:szCs w:val="22"/>
              </w:rPr>
              <w:t>:</w:t>
            </w:r>
            <w:r w:rsidRPr="00AF7D23">
              <w:rPr>
                <w:b/>
                <w:spacing w:val="6"/>
                <w:sz w:val="22"/>
                <w:szCs w:val="22"/>
              </w:rPr>
              <w:t xml:space="preserve"> </w:t>
            </w:r>
          </w:p>
          <w:p w14:paraId="552A9E6F" w14:textId="77777777" w:rsidR="003B3872" w:rsidRPr="00B054A1" w:rsidRDefault="003B3872" w:rsidP="00B054A1">
            <w:pPr>
              <w:spacing w:before="20" w:line="180" w:lineRule="exact"/>
              <w:jc w:val="both"/>
              <w:rPr>
                <w:b/>
                <w:spacing w:val="6"/>
                <w:sz w:val="18"/>
                <w:szCs w:val="18"/>
              </w:rPr>
            </w:pPr>
            <w:r w:rsidRPr="00B054A1">
              <w:rPr>
                <w:b/>
                <w:spacing w:val="6"/>
                <w:sz w:val="18"/>
                <w:szCs w:val="18"/>
              </w:rPr>
              <w:t>- Jóvenes hasta 35 años.</w:t>
            </w:r>
          </w:p>
          <w:p w14:paraId="5F0CE1C9" w14:textId="77777777" w:rsidR="003B3872" w:rsidRPr="00B054A1" w:rsidRDefault="003B3872" w:rsidP="00B054A1">
            <w:pPr>
              <w:spacing w:line="180" w:lineRule="exact"/>
              <w:jc w:val="both"/>
              <w:rPr>
                <w:b/>
                <w:spacing w:val="6"/>
                <w:sz w:val="18"/>
                <w:szCs w:val="18"/>
              </w:rPr>
            </w:pPr>
            <w:r w:rsidRPr="00B054A1">
              <w:rPr>
                <w:b/>
                <w:spacing w:val="6"/>
                <w:sz w:val="18"/>
                <w:szCs w:val="18"/>
              </w:rPr>
              <w:t>- Familias numerosas.</w:t>
            </w:r>
          </w:p>
          <w:p w14:paraId="0C3ED794" w14:textId="77777777" w:rsidR="003B3872" w:rsidRPr="00B054A1" w:rsidRDefault="003B3872" w:rsidP="00B054A1">
            <w:pPr>
              <w:spacing w:line="180" w:lineRule="exact"/>
              <w:jc w:val="both"/>
              <w:rPr>
                <w:b/>
                <w:spacing w:val="6"/>
                <w:sz w:val="18"/>
                <w:szCs w:val="18"/>
              </w:rPr>
            </w:pPr>
            <w:r w:rsidRPr="00B054A1">
              <w:rPr>
                <w:b/>
                <w:spacing w:val="6"/>
                <w:sz w:val="18"/>
                <w:szCs w:val="18"/>
              </w:rPr>
              <w:t>- Familias monoparentales.</w:t>
            </w:r>
          </w:p>
          <w:p w14:paraId="61E11065" w14:textId="77777777" w:rsidR="003B3872" w:rsidRPr="00B054A1" w:rsidRDefault="003B3872" w:rsidP="00B054A1">
            <w:pPr>
              <w:spacing w:after="20" w:line="180" w:lineRule="exact"/>
              <w:jc w:val="both"/>
              <w:rPr>
                <w:b/>
                <w:spacing w:val="6"/>
                <w:sz w:val="18"/>
                <w:szCs w:val="18"/>
              </w:rPr>
            </w:pPr>
            <w:r w:rsidRPr="00B054A1">
              <w:rPr>
                <w:b/>
                <w:spacing w:val="6"/>
                <w:sz w:val="18"/>
                <w:szCs w:val="18"/>
              </w:rPr>
              <w:t>-  Mujeres víctimas violencia</w:t>
            </w:r>
            <w:r>
              <w:rPr>
                <w:b/>
                <w:spacing w:val="6"/>
                <w:sz w:val="18"/>
                <w:szCs w:val="18"/>
              </w:rPr>
              <w:t>.</w:t>
            </w:r>
          </w:p>
          <w:p w14:paraId="123EE569" w14:textId="77777777" w:rsidR="003B3872" w:rsidRPr="00B73148" w:rsidRDefault="003B3872" w:rsidP="00306F06">
            <w:pPr>
              <w:spacing w:before="40" w:after="60" w:line="160" w:lineRule="exact"/>
              <w:jc w:val="center"/>
              <w:rPr>
                <w:b/>
                <w:spacing w:val="6"/>
                <w:sz w:val="24"/>
                <w:szCs w:val="24"/>
              </w:rPr>
            </w:pPr>
            <w:hyperlink r:id="rId117" w:anchor="a32b" w:history="1">
              <w:r w:rsidRPr="009857CD">
                <w:rPr>
                  <w:rStyle w:val="Hipervnculo"/>
                  <w:spacing w:val="6"/>
                  <w:sz w:val="18"/>
                  <w:szCs w:val="18"/>
                </w:rPr>
                <w:t>art. 32 bis</w:t>
              </w:r>
            </w:hyperlink>
            <w:r>
              <w:rPr>
                <w:spacing w:val="6"/>
                <w:sz w:val="24"/>
                <w:szCs w:val="24"/>
              </w:rPr>
              <w:t xml:space="preserve"> </w:t>
            </w:r>
            <w:r w:rsidRPr="00B054A1">
              <w:rPr>
                <w:spacing w:val="6"/>
                <w:sz w:val="16"/>
                <w:szCs w:val="16"/>
              </w:rPr>
              <w:t>(desde 2024 y para monoparentales desde 2025)</w:t>
            </w:r>
          </w:p>
        </w:tc>
        <w:tc>
          <w:tcPr>
            <w:tcW w:w="2252" w:type="dxa"/>
            <w:tcBorders>
              <w:top w:val="single" w:sz="12" w:space="0" w:color="auto"/>
              <w:left w:val="single" w:sz="18" w:space="0" w:color="auto"/>
              <w:bottom w:val="single" w:sz="8" w:space="0" w:color="auto"/>
            </w:tcBorders>
            <w:shd w:val="clear" w:color="auto" w:fill="E7E6E6"/>
            <w:vAlign w:val="center"/>
          </w:tcPr>
          <w:p w14:paraId="11F3A425" w14:textId="77777777" w:rsidR="003B3872" w:rsidRPr="00B054A1" w:rsidRDefault="003B3872" w:rsidP="00B054A1">
            <w:pPr>
              <w:spacing w:before="60" w:line="200" w:lineRule="exact"/>
              <w:jc w:val="center"/>
              <w:rPr>
                <w:b/>
                <w:spacing w:val="6"/>
              </w:rPr>
            </w:pPr>
            <w:r w:rsidRPr="00770ECE">
              <w:rPr>
                <w:b/>
                <w:spacing w:val="6"/>
              </w:rPr>
              <w:t xml:space="preserve">4% hasta 150.000 </w:t>
            </w:r>
            <w:r>
              <w:rPr>
                <w:b/>
                <w:spacing w:val="6"/>
              </w:rPr>
              <w:t>€</w:t>
            </w:r>
          </w:p>
        </w:tc>
        <w:tc>
          <w:tcPr>
            <w:tcW w:w="2032" w:type="dxa"/>
            <w:vMerge w:val="restart"/>
            <w:tcBorders>
              <w:top w:val="single" w:sz="12" w:space="0" w:color="auto"/>
              <w:right w:val="single" w:sz="18" w:space="0" w:color="auto"/>
            </w:tcBorders>
            <w:shd w:val="clear" w:color="auto" w:fill="E7E6E6"/>
            <w:vAlign w:val="center"/>
          </w:tcPr>
          <w:p w14:paraId="4AECDF5B" w14:textId="77777777" w:rsidR="003B3872" w:rsidRPr="00B73148" w:rsidRDefault="003B3872" w:rsidP="00770ECE">
            <w:pPr>
              <w:spacing w:line="220" w:lineRule="exact"/>
              <w:jc w:val="center"/>
              <w:rPr>
                <w:b/>
                <w:spacing w:val="6"/>
                <w:sz w:val="26"/>
                <w:szCs w:val="26"/>
              </w:rPr>
            </w:pPr>
            <w:r>
              <w:rPr>
                <w:b/>
                <w:spacing w:val="6"/>
                <w:sz w:val="26"/>
                <w:szCs w:val="26"/>
              </w:rPr>
              <w:t>-</w:t>
            </w:r>
          </w:p>
        </w:tc>
      </w:tr>
      <w:tr w:rsidR="003B3872" w:rsidRPr="00B73148" w14:paraId="0CD278CC" w14:textId="77777777" w:rsidTr="008E2E05">
        <w:trPr>
          <w:trHeight w:val="334"/>
        </w:trPr>
        <w:tc>
          <w:tcPr>
            <w:tcW w:w="2757" w:type="dxa"/>
            <w:vMerge/>
            <w:tcBorders>
              <w:left w:val="single" w:sz="18" w:space="0" w:color="auto"/>
              <w:right w:val="single" w:sz="18" w:space="0" w:color="auto"/>
            </w:tcBorders>
            <w:shd w:val="clear" w:color="auto" w:fill="E7E6E6"/>
            <w:vAlign w:val="center"/>
          </w:tcPr>
          <w:p w14:paraId="777B503C" w14:textId="77777777" w:rsidR="003B3872" w:rsidRPr="00AF7D23" w:rsidRDefault="003B3872" w:rsidP="00AF7D23">
            <w:pPr>
              <w:spacing w:before="60" w:line="200" w:lineRule="exact"/>
              <w:jc w:val="center"/>
              <w:rPr>
                <w:b/>
                <w:spacing w:val="6"/>
                <w:sz w:val="22"/>
                <w:szCs w:val="22"/>
              </w:rPr>
            </w:pPr>
          </w:p>
        </w:tc>
        <w:tc>
          <w:tcPr>
            <w:tcW w:w="2252" w:type="dxa"/>
            <w:tcBorders>
              <w:top w:val="single" w:sz="8" w:space="0" w:color="auto"/>
              <w:left w:val="single" w:sz="18" w:space="0" w:color="auto"/>
              <w:bottom w:val="single" w:sz="6" w:space="0" w:color="auto"/>
            </w:tcBorders>
            <w:shd w:val="clear" w:color="auto" w:fill="E7E6E6"/>
            <w:vAlign w:val="center"/>
          </w:tcPr>
          <w:p w14:paraId="50C1F3EC" w14:textId="77777777" w:rsidR="003B3872" w:rsidRPr="00B054A1" w:rsidRDefault="003B3872" w:rsidP="00B054A1">
            <w:pPr>
              <w:spacing w:before="20" w:line="200" w:lineRule="exact"/>
              <w:jc w:val="center"/>
              <w:rPr>
                <w:b/>
                <w:spacing w:val="6"/>
              </w:rPr>
            </w:pPr>
            <w:r>
              <w:rPr>
                <w:b/>
                <w:spacing w:val="6"/>
              </w:rPr>
              <w:t>6</w:t>
            </w:r>
            <w:r w:rsidRPr="00770ECE">
              <w:rPr>
                <w:b/>
                <w:spacing w:val="6"/>
              </w:rPr>
              <w:t xml:space="preserve">% </w:t>
            </w:r>
            <w:r>
              <w:rPr>
                <w:b/>
                <w:spacing w:val="6"/>
              </w:rPr>
              <w:t>más de</w:t>
            </w:r>
            <w:r w:rsidRPr="00770ECE">
              <w:rPr>
                <w:b/>
                <w:spacing w:val="6"/>
              </w:rPr>
              <w:t xml:space="preserve"> 150.00</w:t>
            </w:r>
            <w:r>
              <w:rPr>
                <w:b/>
                <w:spacing w:val="6"/>
              </w:rPr>
              <w:t>0</w:t>
            </w:r>
            <w:r w:rsidRPr="00770ECE">
              <w:rPr>
                <w:b/>
                <w:spacing w:val="6"/>
              </w:rPr>
              <w:t xml:space="preserve"> </w:t>
            </w:r>
            <w:r>
              <w:rPr>
                <w:b/>
                <w:spacing w:val="6"/>
              </w:rPr>
              <w:t>€</w:t>
            </w:r>
          </w:p>
        </w:tc>
        <w:tc>
          <w:tcPr>
            <w:tcW w:w="2032" w:type="dxa"/>
            <w:vMerge/>
            <w:tcBorders>
              <w:right w:val="single" w:sz="18" w:space="0" w:color="auto"/>
            </w:tcBorders>
            <w:shd w:val="clear" w:color="auto" w:fill="E7E6E6"/>
            <w:vAlign w:val="center"/>
          </w:tcPr>
          <w:p w14:paraId="3BB794C1" w14:textId="77777777" w:rsidR="003B3872" w:rsidRDefault="003B3872" w:rsidP="00770ECE">
            <w:pPr>
              <w:spacing w:line="220" w:lineRule="exact"/>
              <w:jc w:val="center"/>
              <w:rPr>
                <w:b/>
                <w:spacing w:val="6"/>
                <w:sz w:val="26"/>
                <w:szCs w:val="26"/>
              </w:rPr>
            </w:pPr>
          </w:p>
        </w:tc>
      </w:tr>
      <w:tr w:rsidR="003B3872" w:rsidRPr="00B73148" w14:paraId="42E8CEEF" w14:textId="77777777" w:rsidTr="00384307">
        <w:trPr>
          <w:trHeight w:val="263"/>
        </w:trPr>
        <w:tc>
          <w:tcPr>
            <w:tcW w:w="2757" w:type="dxa"/>
            <w:vMerge/>
            <w:tcBorders>
              <w:left w:val="single" w:sz="18" w:space="0" w:color="auto"/>
              <w:right w:val="single" w:sz="18" w:space="0" w:color="auto"/>
            </w:tcBorders>
            <w:shd w:val="clear" w:color="auto" w:fill="E7E6E6"/>
            <w:vAlign w:val="center"/>
          </w:tcPr>
          <w:p w14:paraId="0170E4EF" w14:textId="77777777" w:rsidR="003B3872" w:rsidRPr="00AF7D23" w:rsidRDefault="003B3872" w:rsidP="00AF7D23">
            <w:pPr>
              <w:spacing w:before="60" w:line="200" w:lineRule="exact"/>
              <w:jc w:val="center"/>
              <w:rPr>
                <w:b/>
                <w:spacing w:val="6"/>
                <w:sz w:val="22"/>
                <w:szCs w:val="22"/>
              </w:rPr>
            </w:pPr>
          </w:p>
        </w:tc>
        <w:tc>
          <w:tcPr>
            <w:tcW w:w="4284" w:type="dxa"/>
            <w:gridSpan w:val="2"/>
            <w:tcBorders>
              <w:top w:val="single" w:sz="6" w:space="0" w:color="auto"/>
              <w:left w:val="single" w:sz="18" w:space="0" w:color="auto"/>
              <w:bottom w:val="single" w:sz="4" w:space="0" w:color="auto"/>
              <w:right w:val="single" w:sz="18" w:space="0" w:color="auto"/>
            </w:tcBorders>
            <w:shd w:val="clear" w:color="auto" w:fill="E7E6E6"/>
            <w:vAlign w:val="center"/>
          </w:tcPr>
          <w:p w14:paraId="630B487D" w14:textId="77777777" w:rsidR="003B3872" w:rsidRDefault="003B3872" w:rsidP="00770ECE">
            <w:pPr>
              <w:spacing w:line="220" w:lineRule="exact"/>
              <w:jc w:val="center"/>
              <w:rPr>
                <w:b/>
                <w:spacing w:val="6"/>
                <w:sz w:val="26"/>
                <w:szCs w:val="26"/>
              </w:rPr>
            </w:pPr>
            <w:r w:rsidRPr="0019081C">
              <w:rPr>
                <w:spacing w:val="6"/>
              </w:rPr>
              <w:t>Incluyendo 2 garajes y 1 trastero (desde 2025)</w:t>
            </w:r>
          </w:p>
        </w:tc>
      </w:tr>
      <w:tr w:rsidR="0020749E" w:rsidRPr="00B73148" w14:paraId="4163C9CC" w14:textId="77777777" w:rsidTr="008E2E05">
        <w:trPr>
          <w:trHeight w:val="263"/>
        </w:trPr>
        <w:tc>
          <w:tcPr>
            <w:tcW w:w="2757" w:type="dxa"/>
            <w:vMerge/>
            <w:tcBorders>
              <w:left w:val="single" w:sz="18" w:space="0" w:color="auto"/>
              <w:bottom w:val="single" w:sz="12" w:space="0" w:color="auto"/>
              <w:right w:val="single" w:sz="18" w:space="0" w:color="auto"/>
            </w:tcBorders>
            <w:shd w:val="clear" w:color="auto" w:fill="E7E6E6"/>
            <w:vAlign w:val="center"/>
          </w:tcPr>
          <w:p w14:paraId="78577EDD" w14:textId="77777777" w:rsidR="0020749E" w:rsidRPr="00AF7D23" w:rsidRDefault="0020749E" w:rsidP="00AF7D23">
            <w:pPr>
              <w:spacing w:before="60" w:line="200" w:lineRule="exact"/>
              <w:jc w:val="center"/>
              <w:rPr>
                <w:b/>
                <w:spacing w:val="6"/>
                <w:sz w:val="22"/>
                <w:szCs w:val="22"/>
              </w:rPr>
            </w:pPr>
          </w:p>
        </w:tc>
        <w:tc>
          <w:tcPr>
            <w:tcW w:w="4284" w:type="dxa"/>
            <w:gridSpan w:val="2"/>
            <w:tcBorders>
              <w:top w:val="single" w:sz="6" w:space="0" w:color="auto"/>
              <w:left w:val="single" w:sz="18" w:space="0" w:color="auto"/>
              <w:bottom w:val="single" w:sz="12" w:space="0" w:color="auto"/>
              <w:right w:val="single" w:sz="18" w:space="0" w:color="auto"/>
            </w:tcBorders>
            <w:shd w:val="clear" w:color="auto" w:fill="E7E6E6"/>
            <w:vAlign w:val="center"/>
          </w:tcPr>
          <w:p w14:paraId="4FAACE88" w14:textId="77777777" w:rsidR="0020749E" w:rsidRPr="0038796C" w:rsidRDefault="0038796C" w:rsidP="0038796C">
            <w:pPr>
              <w:spacing w:before="40" w:line="180" w:lineRule="exact"/>
              <w:jc w:val="both"/>
              <w:rPr>
                <w:spacing w:val="6"/>
                <w:sz w:val="18"/>
                <w:szCs w:val="18"/>
              </w:rPr>
            </w:pPr>
            <w:r w:rsidRPr="0038796C">
              <w:rPr>
                <w:spacing w:val="6"/>
                <w:sz w:val="18"/>
                <w:szCs w:val="18"/>
              </w:rPr>
              <w:t>Fam</w:t>
            </w:r>
            <w:r>
              <w:rPr>
                <w:spacing w:val="6"/>
                <w:sz w:val="18"/>
                <w:szCs w:val="18"/>
              </w:rPr>
              <w:t>ilias</w:t>
            </w:r>
            <w:r w:rsidRPr="0038796C">
              <w:rPr>
                <w:spacing w:val="6"/>
                <w:sz w:val="18"/>
                <w:szCs w:val="18"/>
              </w:rPr>
              <w:t xml:space="preserve"> n</w:t>
            </w:r>
            <w:r w:rsidR="0020749E" w:rsidRPr="0038796C">
              <w:rPr>
                <w:spacing w:val="6"/>
                <w:sz w:val="18"/>
                <w:szCs w:val="18"/>
              </w:rPr>
              <w:t xml:space="preserve">umerosas: </w:t>
            </w:r>
            <w:hyperlink r:id="rId118" w:history="1">
              <w:r w:rsidR="0020749E" w:rsidRPr="0038796C">
                <w:rPr>
                  <w:rStyle w:val="Hipervnculo"/>
                  <w:spacing w:val="6"/>
                  <w:sz w:val="18"/>
                  <w:szCs w:val="18"/>
                </w:rPr>
                <w:t>Ley estatal 40/2003</w:t>
              </w:r>
            </w:hyperlink>
            <w:r w:rsidR="0020749E" w:rsidRPr="0038796C">
              <w:rPr>
                <w:spacing w:val="6"/>
                <w:sz w:val="18"/>
                <w:szCs w:val="18"/>
              </w:rPr>
              <w:t>.</w:t>
            </w:r>
          </w:p>
          <w:p w14:paraId="66C2271F" w14:textId="77777777" w:rsidR="0020749E" w:rsidRDefault="0038796C" w:rsidP="0038796C">
            <w:pPr>
              <w:spacing w:after="60" w:line="180" w:lineRule="exact"/>
              <w:jc w:val="both"/>
              <w:rPr>
                <w:b/>
                <w:spacing w:val="6"/>
                <w:sz w:val="26"/>
                <w:szCs w:val="26"/>
              </w:rPr>
            </w:pPr>
            <w:r w:rsidRPr="0038796C">
              <w:rPr>
                <w:spacing w:val="6"/>
                <w:sz w:val="18"/>
                <w:szCs w:val="18"/>
              </w:rPr>
              <w:t>Fam. m</w:t>
            </w:r>
            <w:r w:rsidR="0020749E" w:rsidRPr="0038796C">
              <w:rPr>
                <w:spacing w:val="6"/>
                <w:sz w:val="18"/>
                <w:szCs w:val="18"/>
              </w:rPr>
              <w:t xml:space="preserve">onoparentales: </w:t>
            </w:r>
            <w:hyperlink r:id="rId119" w:history="1">
              <w:r w:rsidR="00A80868" w:rsidRPr="0038796C">
                <w:rPr>
                  <w:rStyle w:val="Hipervnculo"/>
                  <w:spacing w:val="6"/>
                  <w:sz w:val="18"/>
                  <w:szCs w:val="18"/>
                </w:rPr>
                <w:t>Decreto asturiano</w:t>
              </w:r>
              <w:r w:rsidR="00306F06" w:rsidRPr="0038796C">
                <w:rPr>
                  <w:rStyle w:val="Hipervnculo"/>
                  <w:spacing w:val="6"/>
                  <w:sz w:val="18"/>
                  <w:szCs w:val="18"/>
                </w:rPr>
                <w:t xml:space="preserve"> 19/2023</w:t>
              </w:r>
            </w:hyperlink>
          </w:p>
        </w:tc>
      </w:tr>
      <w:tr w:rsidR="00623641" w:rsidRPr="00B73148" w14:paraId="3681E203" w14:textId="77777777" w:rsidTr="00AB73F7">
        <w:trPr>
          <w:trHeight w:val="613"/>
        </w:trPr>
        <w:tc>
          <w:tcPr>
            <w:tcW w:w="2757" w:type="dxa"/>
            <w:tcBorders>
              <w:top w:val="single" w:sz="12" w:space="0" w:color="auto"/>
              <w:left w:val="single" w:sz="18" w:space="0" w:color="auto"/>
              <w:right w:val="single" w:sz="18" w:space="0" w:color="auto"/>
            </w:tcBorders>
            <w:vAlign w:val="center"/>
          </w:tcPr>
          <w:p w14:paraId="2C41626A" w14:textId="77777777" w:rsidR="00623641" w:rsidRPr="00B73148" w:rsidRDefault="00623641" w:rsidP="004F32DC">
            <w:pPr>
              <w:spacing w:before="60" w:line="200" w:lineRule="exact"/>
              <w:jc w:val="center"/>
              <w:rPr>
                <w:b/>
                <w:spacing w:val="6"/>
                <w:sz w:val="24"/>
                <w:szCs w:val="24"/>
              </w:rPr>
            </w:pPr>
            <w:r w:rsidRPr="00B73148">
              <w:rPr>
                <w:b/>
                <w:spacing w:val="6"/>
                <w:sz w:val="24"/>
                <w:szCs w:val="24"/>
              </w:rPr>
              <w:t>Vivienda protegida</w:t>
            </w:r>
          </w:p>
          <w:p w14:paraId="63694509" w14:textId="77777777" w:rsidR="00623641" w:rsidRPr="004F32DC" w:rsidRDefault="00623641" w:rsidP="004F32DC">
            <w:pPr>
              <w:spacing w:line="200" w:lineRule="exact"/>
              <w:jc w:val="center"/>
              <w:rPr>
                <w:spacing w:val="6"/>
              </w:rPr>
            </w:pPr>
            <w:hyperlink r:id="rId120" w:anchor="a27" w:history="1">
              <w:r w:rsidRPr="005E1A9C">
                <w:rPr>
                  <w:color w:val="0563C1"/>
                  <w:spacing w:val="6"/>
                  <w:u w:val="single"/>
                </w:rPr>
                <w:t>arts. 27 y 35</w:t>
              </w:r>
            </w:hyperlink>
          </w:p>
        </w:tc>
        <w:tc>
          <w:tcPr>
            <w:tcW w:w="2252" w:type="dxa"/>
            <w:tcBorders>
              <w:top w:val="single" w:sz="12" w:space="0" w:color="auto"/>
              <w:left w:val="single" w:sz="18" w:space="0" w:color="auto"/>
              <w:bottom w:val="single" w:sz="6" w:space="0" w:color="auto"/>
            </w:tcBorders>
            <w:vAlign w:val="center"/>
          </w:tcPr>
          <w:p w14:paraId="588A63E1" w14:textId="77777777" w:rsidR="00623641" w:rsidRPr="00B73148" w:rsidRDefault="00623641" w:rsidP="00770ECE">
            <w:pPr>
              <w:spacing w:line="220" w:lineRule="exact"/>
              <w:jc w:val="center"/>
              <w:rPr>
                <w:b/>
                <w:spacing w:val="6"/>
                <w:sz w:val="26"/>
                <w:szCs w:val="26"/>
              </w:rPr>
            </w:pPr>
            <w:r w:rsidRPr="00B73148">
              <w:rPr>
                <w:b/>
                <w:spacing w:val="6"/>
                <w:sz w:val="26"/>
                <w:szCs w:val="26"/>
              </w:rPr>
              <w:t>3%</w:t>
            </w:r>
          </w:p>
          <w:p w14:paraId="50268102" w14:textId="77777777" w:rsidR="00623641" w:rsidRPr="00B73148" w:rsidRDefault="00623641" w:rsidP="004F32DC">
            <w:pPr>
              <w:spacing w:line="200" w:lineRule="exact"/>
              <w:jc w:val="center"/>
              <w:rPr>
                <w:spacing w:val="6"/>
              </w:rPr>
            </w:pPr>
            <w:proofErr w:type="spellStart"/>
            <w:r w:rsidRPr="00B73148">
              <w:rPr>
                <w:spacing w:val="6"/>
              </w:rPr>
              <w:t>si</w:t>
            </w:r>
            <w:proofErr w:type="spellEnd"/>
            <w:r w:rsidRPr="00B73148">
              <w:rPr>
                <w:spacing w:val="6"/>
              </w:rPr>
              <w:t xml:space="preserve"> es de precio máximo</w:t>
            </w:r>
          </w:p>
        </w:tc>
        <w:tc>
          <w:tcPr>
            <w:tcW w:w="2032" w:type="dxa"/>
            <w:tcBorders>
              <w:top w:val="single" w:sz="12" w:space="0" w:color="auto"/>
              <w:bottom w:val="single" w:sz="4" w:space="0" w:color="auto"/>
              <w:right w:val="single" w:sz="18" w:space="0" w:color="auto"/>
            </w:tcBorders>
            <w:vAlign w:val="center"/>
          </w:tcPr>
          <w:p w14:paraId="7030147F" w14:textId="77777777" w:rsidR="00623641" w:rsidRPr="00B73148" w:rsidRDefault="00623641" w:rsidP="00BF1761">
            <w:pPr>
              <w:spacing w:before="60" w:line="220" w:lineRule="exact"/>
              <w:jc w:val="center"/>
              <w:rPr>
                <w:b/>
                <w:spacing w:val="6"/>
                <w:sz w:val="26"/>
                <w:szCs w:val="26"/>
              </w:rPr>
            </w:pPr>
            <w:r w:rsidRPr="00B73148">
              <w:rPr>
                <w:b/>
                <w:spacing w:val="6"/>
                <w:sz w:val="26"/>
                <w:szCs w:val="26"/>
              </w:rPr>
              <w:t>0,3%</w:t>
            </w:r>
          </w:p>
          <w:p w14:paraId="7F8F461E" w14:textId="77777777" w:rsidR="00623641" w:rsidRPr="00B73148" w:rsidRDefault="00623641" w:rsidP="00AB73F7">
            <w:pPr>
              <w:spacing w:line="180" w:lineRule="exact"/>
              <w:jc w:val="center"/>
              <w:rPr>
                <w:spacing w:val="6"/>
              </w:rPr>
            </w:pPr>
            <w:r w:rsidRPr="00B73148">
              <w:rPr>
                <w:spacing w:val="6"/>
              </w:rPr>
              <w:t>si se reciben ayudas de la Administración</w:t>
            </w:r>
          </w:p>
        </w:tc>
      </w:tr>
      <w:tr w:rsidR="000907C3" w:rsidRPr="00B73148" w14:paraId="128938FE" w14:textId="77777777" w:rsidTr="00582247">
        <w:trPr>
          <w:trHeight w:val="298"/>
        </w:trPr>
        <w:tc>
          <w:tcPr>
            <w:tcW w:w="7041" w:type="dxa"/>
            <w:gridSpan w:val="3"/>
            <w:tcBorders>
              <w:left w:val="single" w:sz="18" w:space="0" w:color="auto"/>
              <w:bottom w:val="single" w:sz="12" w:space="0" w:color="auto"/>
              <w:right w:val="single" w:sz="18" w:space="0" w:color="auto"/>
            </w:tcBorders>
            <w:vAlign w:val="center"/>
          </w:tcPr>
          <w:p w14:paraId="2FC86355" w14:textId="77777777" w:rsidR="000907C3" w:rsidRPr="00582247" w:rsidRDefault="00582247" w:rsidP="00582247">
            <w:pPr>
              <w:spacing w:before="20" w:line="160" w:lineRule="exact"/>
              <w:jc w:val="both"/>
              <w:rPr>
                <w:color w:val="000000"/>
                <w:spacing w:val="6"/>
                <w:sz w:val="16"/>
                <w:szCs w:val="16"/>
              </w:rPr>
            </w:pPr>
            <w:r w:rsidRPr="00582247">
              <w:rPr>
                <w:b/>
                <w:color w:val="000000"/>
                <w:spacing w:val="6"/>
                <w:sz w:val="16"/>
                <w:szCs w:val="16"/>
              </w:rPr>
              <w:t>P</w:t>
            </w:r>
            <w:r w:rsidR="000907C3" w:rsidRPr="00582247">
              <w:rPr>
                <w:b/>
                <w:color w:val="000000"/>
                <w:spacing w:val="6"/>
                <w:sz w:val="16"/>
                <w:szCs w:val="16"/>
              </w:rPr>
              <w:t>recio libre:</w:t>
            </w:r>
            <w:r w:rsidR="000907C3" w:rsidRPr="00582247">
              <w:rPr>
                <w:color w:val="000000"/>
                <w:spacing w:val="6"/>
                <w:sz w:val="16"/>
                <w:szCs w:val="16"/>
              </w:rPr>
              <w:t xml:space="preserve"> incorporar informe y hacer advertencias legales. </w:t>
            </w:r>
          </w:p>
          <w:p w14:paraId="35979057" w14:textId="77777777" w:rsidR="000907C3" w:rsidRPr="00B73148" w:rsidRDefault="000907C3" w:rsidP="00582247">
            <w:pPr>
              <w:spacing w:after="20" w:line="160" w:lineRule="exact"/>
              <w:jc w:val="both"/>
              <w:rPr>
                <w:b/>
                <w:spacing w:val="6"/>
                <w:sz w:val="26"/>
                <w:szCs w:val="26"/>
              </w:rPr>
            </w:pPr>
            <w:r w:rsidRPr="00582247">
              <w:rPr>
                <w:b/>
                <w:color w:val="000000"/>
                <w:spacing w:val="6"/>
                <w:sz w:val="16"/>
                <w:szCs w:val="16"/>
              </w:rPr>
              <w:t>Precio máximo:</w:t>
            </w:r>
            <w:r w:rsidRPr="00582247">
              <w:rPr>
                <w:color w:val="000000"/>
                <w:spacing w:val="6"/>
                <w:sz w:val="16"/>
                <w:szCs w:val="16"/>
              </w:rPr>
              <w:t xml:space="preserve"> elevar contrato visado, incorporar informe y hacer advertencias legales.</w:t>
            </w:r>
          </w:p>
        </w:tc>
      </w:tr>
      <w:tr w:rsidR="004B2859" w:rsidRPr="00B73148" w14:paraId="63999011" w14:textId="77777777" w:rsidTr="008E2E05">
        <w:trPr>
          <w:trHeight w:val="363"/>
        </w:trPr>
        <w:tc>
          <w:tcPr>
            <w:tcW w:w="2757" w:type="dxa"/>
            <w:tcBorders>
              <w:top w:val="single" w:sz="12" w:space="0" w:color="auto"/>
              <w:left w:val="single" w:sz="18" w:space="0" w:color="auto"/>
              <w:bottom w:val="single" w:sz="12" w:space="0" w:color="auto"/>
              <w:right w:val="single" w:sz="18" w:space="0" w:color="auto"/>
            </w:tcBorders>
            <w:shd w:val="clear" w:color="auto" w:fill="E7E6E6"/>
            <w:vAlign w:val="center"/>
          </w:tcPr>
          <w:p w14:paraId="355C2484" w14:textId="77777777" w:rsidR="004B2859" w:rsidRDefault="004B2859" w:rsidP="004B2859">
            <w:pPr>
              <w:spacing w:before="60" w:line="180" w:lineRule="exact"/>
              <w:jc w:val="center"/>
              <w:rPr>
                <w:b/>
                <w:spacing w:val="6"/>
                <w:sz w:val="24"/>
                <w:szCs w:val="24"/>
              </w:rPr>
            </w:pPr>
            <w:r>
              <w:rPr>
                <w:b/>
                <w:spacing w:val="6"/>
                <w:sz w:val="24"/>
                <w:szCs w:val="24"/>
              </w:rPr>
              <w:t>Suelo rústico</w:t>
            </w:r>
          </w:p>
          <w:p w14:paraId="2AF1B74B" w14:textId="77777777" w:rsidR="004B2859" w:rsidRPr="004B2859" w:rsidRDefault="004B2859" w:rsidP="004B2859">
            <w:pPr>
              <w:spacing w:after="20" w:line="180" w:lineRule="exact"/>
              <w:jc w:val="center"/>
              <w:rPr>
                <w:b/>
                <w:spacing w:val="6"/>
                <w:sz w:val="18"/>
                <w:szCs w:val="18"/>
              </w:rPr>
            </w:pPr>
            <w:r w:rsidRPr="004B2859">
              <w:rPr>
                <w:b/>
                <w:spacing w:val="6"/>
                <w:sz w:val="18"/>
                <w:szCs w:val="18"/>
              </w:rPr>
              <w:t>sin construcciones no afectas a explotación en funcionamiento</w:t>
            </w:r>
          </w:p>
          <w:p w14:paraId="16117BD6" w14:textId="77777777" w:rsidR="004B2859" w:rsidRPr="005E1A9C" w:rsidRDefault="004B2859" w:rsidP="005E1A9C">
            <w:pPr>
              <w:spacing w:after="40" w:line="180" w:lineRule="exact"/>
              <w:jc w:val="center"/>
              <w:rPr>
                <w:b/>
                <w:spacing w:val="6"/>
              </w:rPr>
            </w:pPr>
            <w:hyperlink r:id="rId121" w:anchor="a32t" w:history="1">
              <w:r w:rsidRPr="00634182">
                <w:rPr>
                  <w:rStyle w:val="Hipervnculo"/>
                  <w:spacing w:val="6"/>
                </w:rPr>
                <w:t>art. 32 ter</w:t>
              </w:r>
            </w:hyperlink>
          </w:p>
        </w:tc>
        <w:tc>
          <w:tcPr>
            <w:tcW w:w="2252" w:type="dxa"/>
            <w:tcBorders>
              <w:top w:val="single" w:sz="12" w:space="0" w:color="auto"/>
              <w:left w:val="single" w:sz="18" w:space="0" w:color="auto"/>
              <w:bottom w:val="single" w:sz="12" w:space="0" w:color="auto"/>
            </w:tcBorders>
            <w:shd w:val="clear" w:color="auto" w:fill="E7E6E6"/>
            <w:vAlign w:val="center"/>
          </w:tcPr>
          <w:p w14:paraId="37C86E13" w14:textId="77777777" w:rsidR="004B2859" w:rsidRPr="007B11BB" w:rsidRDefault="004B2859" w:rsidP="004B2859">
            <w:pPr>
              <w:spacing w:before="60" w:line="220" w:lineRule="exact"/>
              <w:jc w:val="center"/>
              <w:rPr>
                <w:b/>
                <w:spacing w:val="6"/>
                <w:sz w:val="22"/>
                <w:szCs w:val="22"/>
              </w:rPr>
            </w:pPr>
            <w:r w:rsidRPr="007B11BB">
              <w:rPr>
                <w:b/>
                <w:spacing w:val="6"/>
                <w:sz w:val="22"/>
                <w:szCs w:val="22"/>
              </w:rPr>
              <w:t>Deducción 100%</w:t>
            </w:r>
          </w:p>
          <w:p w14:paraId="1F33A49F" w14:textId="77777777" w:rsidR="004B2859" w:rsidRPr="00B73148" w:rsidRDefault="004B2859" w:rsidP="004B2859">
            <w:pPr>
              <w:spacing w:after="60" w:line="220" w:lineRule="exact"/>
              <w:jc w:val="center"/>
              <w:rPr>
                <w:b/>
                <w:spacing w:val="6"/>
                <w:sz w:val="26"/>
                <w:szCs w:val="26"/>
              </w:rPr>
            </w:pPr>
            <w:r w:rsidRPr="00770ECE">
              <w:rPr>
                <w:spacing w:val="6"/>
                <w:sz w:val="18"/>
                <w:szCs w:val="18"/>
              </w:rPr>
              <w:t>(desde 01/01/202</w:t>
            </w:r>
            <w:r>
              <w:rPr>
                <w:spacing w:val="6"/>
                <w:sz w:val="18"/>
                <w:szCs w:val="18"/>
              </w:rPr>
              <w:t>4</w:t>
            </w:r>
            <w:r w:rsidRPr="00770ECE">
              <w:rPr>
                <w:spacing w:val="6"/>
                <w:sz w:val="18"/>
                <w:szCs w:val="18"/>
              </w:rPr>
              <w:t>)</w:t>
            </w:r>
          </w:p>
        </w:tc>
        <w:tc>
          <w:tcPr>
            <w:tcW w:w="2032" w:type="dxa"/>
            <w:tcBorders>
              <w:top w:val="single" w:sz="12" w:space="0" w:color="auto"/>
              <w:bottom w:val="single" w:sz="12" w:space="0" w:color="auto"/>
              <w:right w:val="single" w:sz="18" w:space="0" w:color="auto"/>
            </w:tcBorders>
            <w:shd w:val="clear" w:color="auto" w:fill="E7E6E6"/>
            <w:vAlign w:val="center"/>
          </w:tcPr>
          <w:p w14:paraId="1B3F39D0" w14:textId="77777777" w:rsidR="004B2859" w:rsidRPr="00B73148" w:rsidRDefault="004B2859" w:rsidP="00BA7B58">
            <w:pPr>
              <w:spacing w:before="60" w:after="60" w:line="160" w:lineRule="exact"/>
              <w:jc w:val="center"/>
              <w:rPr>
                <w:rFonts w:ascii="Times New Roman" w:eastAsia="SimSun" w:hAnsi="Times New Roman"/>
                <w:bCs/>
                <w:sz w:val="16"/>
                <w:szCs w:val="16"/>
                <w:lang w:val="es-ES" w:eastAsia="zh-CN"/>
              </w:rPr>
            </w:pPr>
            <w:r>
              <w:rPr>
                <w:rFonts w:ascii="Times New Roman" w:eastAsia="SimSun" w:hAnsi="Times New Roman"/>
                <w:bCs/>
                <w:sz w:val="16"/>
                <w:szCs w:val="16"/>
                <w:lang w:val="es-ES" w:eastAsia="zh-CN"/>
              </w:rPr>
              <w:t>-</w:t>
            </w:r>
          </w:p>
        </w:tc>
      </w:tr>
      <w:tr w:rsidR="002418F9" w:rsidRPr="00B73148" w14:paraId="7EF99B4C" w14:textId="77777777" w:rsidTr="00F273BE">
        <w:trPr>
          <w:trHeight w:val="363"/>
        </w:trPr>
        <w:tc>
          <w:tcPr>
            <w:tcW w:w="2757" w:type="dxa"/>
            <w:tcBorders>
              <w:top w:val="single" w:sz="12" w:space="0" w:color="auto"/>
              <w:left w:val="single" w:sz="18" w:space="0" w:color="auto"/>
              <w:bottom w:val="single" w:sz="12" w:space="0" w:color="auto"/>
              <w:right w:val="single" w:sz="18" w:space="0" w:color="auto"/>
            </w:tcBorders>
            <w:vAlign w:val="center"/>
          </w:tcPr>
          <w:p w14:paraId="1538BC29" w14:textId="77777777" w:rsidR="002418F9" w:rsidRPr="002418F9" w:rsidRDefault="002418F9" w:rsidP="002418F9">
            <w:pPr>
              <w:spacing w:before="60" w:line="180" w:lineRule="exact"/>
              <w:jc w:val="center"/>
              <w:rPr>
                <w:b/>
                <w:spacing w:val="6"/>
                <w:sz w:val="16"/>
                <w:szCs w:val="16"/>
              </w:rPr>
            </w:pPr>
            <w:r w:rsidRPr="002418F9">
              <w:rPr>
                <w:b/>
                <w:spacing w:val="6"/>
                <w:sz w:val="18"/>
                <w:szCs w:val="18"/>
              </w:rPr>
              <w:t>Terrenos, solares o superficie</w:t>
            </w:r>
            <w:r w:rsidRPr="002418F9">
              <w:rPr>
                <w:b/>
                <w:spacing w:val="6"/>
                <w:sz w:val="16"/>
                <w:szCs w:val="16"/>
              </w:rPr>
              <w:t xml:space="preserve"> </w:t>
            </w:r>
            <w:r w:rsidRPr="002418F9">
              <w:rPr>
                <w:b/>
                <w:spacing w:val="6"/>
                <w:sz w:val="22"/>
                <w:szCs w:val="22"/>
              </w:rPr>
              <w:t>para vivienda protegida</w:t>
            </w:r>
          </w:p>
          <w:p w14:paraId="3C973E85" w14:textId="77777777" w:rsidR="002418F9" w:rsidRPr="002418F9" w:rsidRDefault="002418F9" w:rsidP="002418F9">
            <w:pPr>
              <w:spacing w:after="60" w:line="180" w:lineRule="exact"/>
              <w:jc w:val="center"/>
              <w:rPr>
                <w:b/>
                <w:spacing w:val="6"/>
              </w:rPr>
            </w:pPr>
            <w:hyperlink r:id="rId122" w:anchor="a32sexies" w:history="1">
              <w:r w:rsidRPr="002E2AC0">
                <w:rPr>
                  <w:rStyle w:val="Hipervnculo"/>
                  <w:spacing w:val="6"/>
                </w:rPr>
                <w:t>art</w:t>
              </w:r>
              <w:r w:rsidR="007B11BB" w:rsidRPr="002E2AC0">
                <w:rPr>
                  <w:rStyle w:val="Hipervnculo"/>
                  <w:spacing w:val="6"/>
                </w:rPr>
                <w:t>s</w:t>
              </w:r>
              <w:r w:rsidRPr="002E2AC0">
                <w:rPr>
                  <w:rStyle w:val="Hipervnculo"/>
                  <w:spacing w:val="6"/>
                </w:rPr>
                <w:t>. 32 sexies</w:t>
              </w:r>
              <w:r w:rsidR="007B11BB" w:rsidRPr="002E2AC0">
                <w:rPr>
                  <w:rStyle w:val="Hipervnculo"/>
                  <w:spacing w:val="6"/>
                </w:rPr>
                <w:t xml:space="preserve"> y 39 bis</w:t>
              </w:r>
            </w:hyperlink>
          </w:p>
        </w:tc>
        <w:tc>
          <w:tcPr>
            <w:tcW w:w="2252" w:type="dxa"/>
            <w:tcBorders>
              <w:top w:val="single" w:sz="12" w:space="0" w:color="auto"/>
              <w:left w:val="single" w:sz="18" w:space="0" w:color="auto"/>
              <w:bottom w:val="single" w:sz="12" w:space="0" w:color="auto"/>
            </w:tcBorders>
            <w:vAlign w:val="center"/>
          </w:tcPr>
          <w:p w14:paraId="1146550D" w14:textId="77777777" w:rsidR="002418F9" w:rsidRPr="007B11BB" w:rsidRDefault="002418F9" w:rsidP="002418F9">
            <w:pPr>
              <w:spacing w:before="60" w:line="220" w:lineRule="exact"/>
              <w:jc w:val="center"/>
              <w:rPr>
                <w:b/>
                <w:spacing w:val="6"/>
                <w:sz w:val="22"/>
                <w:szCs w:val="22"/>
              </w:rPr>
            </w:pPr>
            <w:r w:rsidRPr="007B11BB">
              <w:rPr>
                <w:b/>
                <w:spacing w:val="6"/>
                <w:sz w:val="22"/>
                <w:szCs w:val="22"/>
              </w:rPr>
              <w:t>Deducción 100%</w:t>
            </w:r>
          </w:p>
          <w:p w14:paraId="52399A4E" w14:textId="77777777" w:rsidR="002418F9" w:rsidRDefault="002418F9" w:rsidP="002418F9">
            <w:pPr>
              <w:spacing w:after="60" w:line="220" w:lineRule="exact"/>
              <w:jc w:val="center"/>
              <w:rPr>
                <w:b/>
                <w:spacing w:val="6"/>
              </w:rPr>
            </w:pPr>
            <w:r w:rsidRPr="00770ECE">
              <w:rPr>
                <w:spacing w:val="6"/>
                <w:sz w:val="18"/>
                <w:szCs w:val="18"/>
              </w:rPr>
              <w:t>(desde 01/01/202</w:t>
            </w:r>
            <w:r>
              <w:rPr>
                <w:spacing w:val="6"/>
                <w:sz w:val="18"/>
                <w:szCs w:val="18"/>
              </w:rPr>
              <w:t>4</w:t>
            </w:r>
            <w:r w:rsidRPr="00770ECE">
              <w:rPr>
                <w:spacing w:val="6"/>
                <w:sz w:val="18"/>
                <w:szCs w:val="18"/>
              </w:rPr>
              <w:t>)</w:t>
            </w:r>
          </w:p>
        </w:tc>
        <w:tc>
          <w:tcPr>
            <w:tcW w:w="2032" w:type="dxa"/>
            <w:tcBorders>
              <w:top w:val="single" w:sz="12" w:space="0" w:color="auto"/>
              <w:bottom w:val="single" w:sz="12" w:space="0" w:color="auto"/>
              <w:right w:val="single" w:sz="18" w:space="0" w:color="auto"/>
            </w:tcBorders>
            <w:vAlign w:val="center"/>
          </w:tcPr>
          <w:p w14:paraId="06E1803A" w14:textId="77777777" w:rsidR="007B11BB" w:rsidRPr="007B11BB" w:rsidRDefault="007B11BB" w:rsidP="007B11BB">
            <w:pPr>
              <w:spacing w:before="60" w:line="220" w:lineRule="exact"/>
              <w:jc w:val="center"/>
              <w:rPr>
                <w:b/>
                <w:spacing w:val="6"/>
                <w:sz w:val="22"/>
                <w:szCs w:val="22"/>
              </w:rPr>
            </w:pPr>
            <w:r w:rsidRPr="007B11BB">
              <w:rPr>
                <w:b/>
                <w:spacing w:val="6"/>
                <w:sz w:val="22"/>
                <w:szCs w:val="22"/>
              </w:rPr>
              <w:t>Deducción 100%</w:t>
            </w:r>
          </w:p>
          <w:p w14:paraId="1400D50A" w14:textId="77777777" w:rsidR="002418F9" w:rsidRDefault="007B11BB" w:rsidP="007B11BB">
            <w:pPr>
              <w:spacing w:before="60" w:after="60" w:line="160" w:lineRule="exact"/>
              <w:jc w:val="center"/>
              <w:rPr>
                <w:rFonts w:ascii="Times New Roman" w:eastAsia="SimSun" w:hAnsi="Times New Roman"/>
                <w:bCs/>
                <w:sz w:val="16"/>
                <w:szCs w:val="16"/>
                <w:lang w:val="es-ES" w:eastAsia="zh-CN"/>
              </w:rPr>
            </w:pPr>
            <w:r w:rsidRPr="00770ECE">
              <w:rPr>
                <w:spacing w:val="6"/>
                <w:sz w:val="18"/>
                <w:szCs w:val="18"/>
              </w:rPr>
              <w:t>(desde 01/01/202</w:t>
            </w:r>
            <w:r>
              <w:rPr>
                <w:spacing w:val="6"/>
                <w:sz w:val="18"/>
                <w:szCs w:val="18"/>
              </w:rPr>
              <w:t>4</w:t>
            </w:r>
            <w:r w:rsidRPr="00770ECE">
              <w:rPr>
                <w:spacing w:val="6"/>
                <w:sz w:val="18"/>
                <w:szCs w:val="18"/>
              </w:rPr>
              <w:t>)</w:t>
            </w:r>
          </w:p>
        </w:tc>
      </w:tr>
      <w:tr w:rsidR="00CC22AE" w:rsidRPr="00B73148" w14:paraId="27285A6D" w14:textId="77777777" w:rsidTr="008E2E05">
        <w:trPr>
          <w:trHeight w:val="357"/>
        </w:trPr>
        <w:tc>
          <w:tcPr>
            <w:tcW w:w="2757" w:type="dxa"/>
            <w:vMerge w:val="restart"/>
            <w:tcBorders>
              <w:top w:val="single" w:sz="12" w:space="0" w:color="auto"/>
              <w:left w:val="single" w:sz="18" w:space="0" w:color="auto"/>
              <w:right w:val="single" w:sz="18" w:space="0" w:color="auto"/>
            </w:tcBorders>
            <w:shd w:val="clear" w:color="auto" w:fill="E7E6E6"/>
            <w:vAlign w:val="center"/>
          </w:tcPr>
          <w:p w14:paraId="48C7BB6E" w14:textId="77777777" w:rsidR="00CC22AE" w:rsidRPr="00B73148" w:rsidRDefault="00CC22AE" w:rsidP="00DB1F8B">
            <w:pPr>
              <w:spacing w:line="200" w:lineRule="exact"/>
              <w:jc w:val="center"/>
              <w:rPr>
                <w:b/>
                <w:spacing w:val="6"/>
                <w:sz w:val="22"/>
                <w:szCs w:val="22"/>
              </w:rPr>
            </w:pPr>
            <w:r w:rsidRPr="00B73148">
              <w:rPr>
                <w:b/>
                <w:spacing w:val="6"/>
                <w:sz w:val="22"/>
                <w:szCs w:val="22"/>
              </w:rPr>
              <w:t>Inmueble en transmisión empresa individual a empleados y parientes</w:t>
            </w:r>
          </w:p>
          <w:p w14:paraId="316E3883" w14:textId="77777777" w:rsidR="00CC22AE" w:rsidRPr="005F6FE4" w:rsidRDefault="00CC22AE" w:rsidP="005F6FE4">
            <w:pPr>
              <w:spacing w:line="240" w:lineRule="exact"/>
              <w:jc w:val="center"/>
              <w:rPr>
                <w:spacing w:val="6"/>
              </w:rPr>
            </w:pPr>
            <w:hyperlink r:id="rId123" w:anchor="a28" w:history="1">
              <w:r w:rsidRPr="005F6FE4">
                <w:rPr>
                  <w:color w:val="0563C1"/>
                  <w:spacing w:val="6"/>
                  <w:u w:val="single"/>
                </w:rPr>
                <w:t>art. 28</w:t>
              </w:r>
            </w:hyperlink>
          </w:p>
        </w:tc>
        <w:tc>
          <w:tcPr>
            <w:tcW w:w="2252" w:type="dxa"/>
            <w:tcBorders>
              <w:top w:val="single" w:sz="12" w:space="0" w:color="auto"/>
              <w:left w:val="single" w:sz="18" w:space="0" w:color="auto"/>
              <w:bottom w:val="single" w:sz="4" w:space="0" w:color="auto"/>
            </w:tcBorders>
            <w:shd w:val="clear" w:color="auto" w:fill="E7E6E6"/>
            <w:vAlign w:val="center"/>
          </w:tcPr>
          <w:p w14:paraId="6C7AD35A" w14:textId="77777777" w:rsidR="00CC22AE" w:rsidRPr="00B73148" w:rsidRDefault="00CC22AE" w:rsidP="00B73148">
            <w:pPr>
              <w:spacing w:line="280" w:lineRule="atLeast"/>
              <w:jc w:val="center"/>
              <w:rPr>
                <w:b/>
                <w:spacing w:val="6"/>
                <w:sz w:val="26"/>
                <w:szCs w:val="26"/>
              </w:rPr>
            </w:pPr>
            <w:r w:rsidRPr="00B73148">
              <w:rPr>
                <w:b/>
                <w:spacing w:val="6"/>
                <w:sz w:val="26"/>
                <w:szCs w:val="26"/>
              </w:rPr>
              <w:t>3%</w:t>
            </w:r>
          </w:p>
        </w:tc>
        <w:tc>
          <w:tcPr>
            <w:tcW w:w="2032" w:type="dxa"/>
            <w:tcBorders>
              <w:top w:val="single" w:sz="12" w:space="0" w:color="auto"/>
              <w:right w:val="single" w:sz="18" w:space="0" w:color="auto"/>
            </w:tcBorders>
            <w:shd w:val="clear" w:color="auto" w:fill="E7E6E6"/>
            <w:vAlign w:val="center"/>
          </w:tcPr>
          <w:p w14:paraId="3F0B14C3" w14:textId="77777777" w:rsidR="00CC22AE" w:rsidRPr="00B73148" w:rsidRDefault="004A7926" w:rsidP="00BA7B58">
            <w:pPr>
              <w:spacing w:before="60" w:after="60" w:line="160" w:lineRule="exact"/>
              <w:jc w:val="center"/>
              <w:rPr>
                <w:b/>
                <w:spacing w:val="6"/>
                <w:sz w:val="16"/>
                <w:szCs w:val="16"/>
              </w:rPr>
            </w:pPr>
            <w:r>
              <w:rPr>
                <w:b/>
                <w:spacing w:val="6"/>
                <w:sz w:val="16"/>
                <w:szCs w:val="16"/>
              </w:rPr>
              <w:t>-</w:t>
            </w:r>
          </w:p>
        </w:tc>
      </w:tr>
      <w:tr w:rsidR="00790879" w:rsidRPr="00B73148" w14:paraId="5C008723" w14:textId="77777777" w:rsidTr="008E2E05">
        <w:trPr>
          <w:trHeight w:val="385"/>
        </w:trPr>
        <w:tc>
          <w:tcPr>
            <w:tcW w:w="2757" w:type="dxa"/>
            <w:vMerge/>
            <w:tcBorders>
              <w:left w:val="single" w:sz="18" w:space="0" w:color="auto"/>
              <w:bottom w:val="single" w:sz="12" w:space="0" w:color="auto"/>
              <w:right w:val="single" w:sz="18" w:space="0" w:color="auto"/>
            </w:tcBorders>
            <w:shd w:val="clear" w:color="auto" w:fill="E7E6E6"/>
            <w:vAlign w:val="center"/>
          </w:tcPr>
          <w:p w14:paraId="5221DC6A" w14:textId="77777777" w:rsidR="00790879" w:rsidRPr="00B73148" w:rsidRDefault="00790879" w:rsidP="000B7FA7">
            <w:pPr>
              <w:spacing w:line="220" w:lineRule="exact"/>
              <w:jc w:val="center"/>
              <w:rPr>
                <w:b/>
                <w:spacing w:val="6"/>
                <w:sz w:val="22"/>
                <w:szCs w:val="22"/>
              </w:rPr>
            </w:pPr>
          </w:p>
        </w:tc>
        <w:tc>
          <w:tcPr>
            <w:tcW w:w="4284" w:type="dxa"/>
            <w:gridSpan w:val="2"/>
            <w:tcBorders>
              <w:top w:val="single" w:sz="4" w:space="0" w:color="auto"/>
              <w:left w:val="single" w:sz="18" w:space="0" w:color="auto"/>
              <w:bottom w:val="single" w:sz="12" w:space="0" w:color="auto"/>
              <w:right w:val="single" w:sz="18" w:space="0" w:color="auto"/>
            </w:tcBorders>
            <w:shd w:val="clear" w:color="auto" w:fill="E7E6E6"/>
            <w:vAlign w:val="center"/>
          </w:tcPr>
          <w:p w14:paraId="7811C005" w14:textId="77777777" w:rsidR="00790879" w:rsidRPr="00CB1A70" w:rsidRDefault="004A7926" w:rsidP="005F6FE4">
            <w:pPr>
              <w:spacing w:before="60" w:after="40" w:line="160" w:lineRule="exact"/>
              <w:jc w:val="center"/>
              <w:rPr>
                <w:rFonts w:ascii="Times New Roman" w:eastAsia="SimSun" w:hAnsi="Times New Roman"/>
                <w:bCs/>
                <w:sz w:val="16"/>
                <w:szCs w:val="16"/>
                <w:lang w:val="es-ES" w:eastAsia="zh-CN"/>
              </w:rPr>
            </w:pPr>
            <w:r w:rsidRPr="00CB1A70">
              <w:rPr>
                <w:rFonts w:ascii="Times New Roman" w:eastAsia="SimSun" w:hAnsi="Times New Roman"/>
                <w:bCs/>
                <w:sz w:val="16"/>
                <w:szCs w:val="16"/>
                <w:lang w:val="es-ES" w:eastAsia="zh-CN"/>
              </w:rPr>
              <w:t>En la transmisión global de empresa hay no sujeción a IVA (</w:t>
            </w:r>
            <w:hyperlink r:id="rId124" w:anchor="a7" w:history="1">
              <w:r w:rsidRPr="00CB1A70">
                <w:rPr>
                  <w:rFonts w:ascii="Times New Roman" w:eastAsia="SimSun" w:hAnsi="Times New Roman"/>
                  <w:bCs/>
                  <w:color w:val="0563C1"/>
                  <w:sz w:val="16"/>
                  <w:szCs w:val="16"/>
                  <w:u w:val="single"/>
                  <w:lang w:val="es-ES" w:eastAsia="zh-CN"/>
                </w:rPr>
                <w:t>art. 7-1 Ley 37/1992</w:t>
              </w:r>
            </w:hyperlink>
            <w:r w:rsidRPr="00CB1A70">
              <w:rPr>
                <w:rFonts w:ascii="Times New Roman" w:eastAsia="SimSun" w:hAnsi="Times New Roman"/>
                <w:bCs/>
                <w:sz w:val="16"/>
                <w:szCs w:val="16"/>
                <w:lang w:val="es-ES" w:eastAsia="zh-CN"/>
              </w:rPr>
              <w:t>), sin perjuicio de la sujeción a ITPO sólo de los inmuebles incluidos (</w:t>
            </w:r>
            <w:hyperlink r:id="rId125" w:anchor="a7" w:history="1">
              <w:r w:rsidRPr="00CB1A70">
                <w:rPr>
                  <w:rFonts w:ascii="Times New Roman" w:eastAsia="SimSun" w:hAnsi="Times New Roman"/>
                  <w:bCs/>
                  <w:color w:val="0563C1"/>
                  <w:sz w:val="16"/>
                  <w:szCs w:val="16"/>
                  <w:u w:val="single"/>
                  <w:lang w:val="es-ES" w:eastAsia="zh-CN"/>
                </w:rPr>
                <w:t>art. 7-5 D-leg 1/1993</w:t>
              </w:r>
            </w:hyperlink>
            <w:r w:rsidRPr="00CB1A70">
              <w:rPr>
                <w:rFonts w:ascii="Times New Roman" w:eastAsia="SimSun" w:hAnsi="Times New Roman"/>
                <w:bCs/>
                <w:sz w:val="16"/>
                <w:szCs w:val="16"/>
                <w:lang w:val="es-ES" w:eastAsia="zh-CN"/>
              </w:rPr>
              <w:t>)</w:t>
            </w:r>
          </w:p>
        </w:tc>
      </w:tr>
      <w:tr w:rsidR="00B73148" w:rsidRPr="00B73148" w14:paraId="31433506" w14:textId="77777777" w:rsidTr="00F273BE">
        <w:trPr>
          <w:trHeight w:val="363"/>
        </w:trPr>
        <w:tc>
          <w:tcPr>
            <w:tcW w:w="2757" w:type="dxa"/>
            <w:tcBorders>
              <w:top w:val="single" w:sz="12" w:space="0" w:color="auto"/>
              <w:left w:val="single" w:sz="18" w:space="0" w:color="auto"/>
              <w:bottom w:val="single" w:sz="12" w:space="0" w:color="auto"/>
              <w:right w:val="single" w:sz="18" w:space="0" w:color="auto"/>
            </w:tcBorders>
            <w:vAlign w:val="center"/>
          </w:tcPr>
          <w:p w14:paraId="1B4D255B" w14:textId="77777777" w:rsidR="00B73148" w:rsidRPr="007A7344" w:rsidRDefault="00B73148" w:rsidP="00310D7F">
            <w:pPr>
              <w:spacing w:before="60" w:line="220" w:lineRule="exact"/>
              <w:jc w:val="center"/>
              <w:rPr>
                <w:b/>
                <w:spacing w:val="6"/>
                <w:sz w:val="22"/>
                <w:szCs w:val="22"/>
              </w:rPr>
            </w:pPr>
            <w:r w:rsidRPr="007A7344">
              <w:rPr>
                <w:b/>
                <w:spacing w:val="6"/>
                <w:sz w:val="22"/>
                <w:szCs w:val="22"/>
              </w:rPr>
              <w:t>Renuncia</w:t>
            </w:r>
            <w:r w:rsidR="00805513" w:rsidRPr="007A7344">
              <w:rPr>
                <w:b/>
                <w:spacing w:val="6"/>
                <w:sz w:val="22"/>
                <w:szCs w:val="22"/>
              </w:rPr>
              <w:t xml:space="preserve"> </w:t>
            </w:r>
            <w:r w:rsidRPr="007A7344">
              <w:rPr>
                <w:b/>
                <w:spacing w:val="6"/>
                <w:sz w:val="22"/>
                <w:szCs w:val="22"/>
              </w:rPr>
              <w:t>exención IVA</w:t>
            </w:r>
          </w:p>
          <w:p w14:paraId="799ECD27" w14:textId="77777777" w:rsidR="00B73148" w:rsidRPr="005F6FE4" w:rsidRDefault="00B73148" w:rsidP="005F6FE4">
            <w:pPr>
              <w:spacing w:after="40" w:line="220" w:lineRule="exact"/>
              <w:jc w:val="center"/>
              <w:rPr>
                <w:spacing w:val="6"/>
              </w:rPr>
            </w:pPr>
            <w:hyperlink r:id="rId126" w:anchor="a29" w:history="1">
              <w:r w:rsidRPr="005F6FE4">
                <w:rPr>
                  <w:color w:val="0563C1"/>
                  <w:spacing w:val="6"/>
                  <w:u w:val="single"/>
                </w:rPr>
                <w:t>arts. 29 y 36</w:t>
              </w:r>
            </w:hyperlink>
          </w:p>
        </w:tc>
        <w:tc>
          <w:tcPr>
            <w:tcW w:w="2252" w:type="dxa"/>
            <w:tcBorders>
              <w:top w:val="single" w:sz="12" w:space="0" w:color="auto"/>
              <w:left w:val="single" w:sz="18" w:space="0" w:color="auto"/>
              <w:bottom w:val="single" w:sz="12" w:space="0" w:color="auto"/>
            </w:tcBorders>
            <w:vAlign w:val="center"/>
          </w:tcPr>
          <w:p w14:paraId="5C313ABE" w14:textId="77777777" w:rsidR="00B73148" w:rsidRPr="00B73148" w:rsidRDefault="00B73148" w:rsidP="00310D7F">
            <w:pPr>
              <w:spacing w:line="220" w:lineRule="exact"/>
              <w:jc w:val="center"/>
              <w:rPr>
                <w:b/>
                <w:spacing w:val="6"/>
                <w:sz w:val="26"/>
                <w:szCs w:val="26"/>
              </w:rPr>
            </w:pPr>
            <w:r w:rsidRPr="00B73148">
              <w:rPr>
                <w:b/>
                <w:spacing w:val="6"/>
                <w:sz w:val="26"/>
                <w:szCs w:val="26"/>
              </w:rPr>
              <w:t>2%</w:t>
            </w:r>
          </w:p>
          <w:p w14:paraId="67A76250" w14:textId="77777777" w:rsidR="00B73148" w:rsidRPr="007A7344" w:rsidRDefault="00B73148" w:rsidP="00310D7F">
            <w:pPr>
              <w:spacing w:line="220" w:lineRule="exact"/>
              <w:jc w:val="center"/>
              <w:rPr>
                <w:spacing w:val="6"/>
                <w:sz w:val="22"/>
                <w:szCs w:val="22"/>
              </w:rPr>
            </w:pPr>
            <w:r w:rsidRPr="007A7344">
              <w:rPr>
                <w:spacing w:val="6"/>
                <w:sz w:val="22"/>
                <w:szCs w:val="22"/>
              </w:rPr>
              <w:t>si no se ejercita</w:t>
            </w:r>
          </w:p>
        </w:tc>
        <w:tc>
          <w:tcPr>
            <w:tcW w:w="2032" w:type="dxa"/>
            <w:tcBorders>
              <w:top w:val="single" w:sz="12" w:space="0" w:color="auto"/>
              <w:bottom w:val="single" w:sz="12" w:space="0" w:color="auto"/>
              <w:right w:val="single" w:sz="18" w:space="0" w:color="auto"/>
            </w:tcBorders>
            <w:vAlign w:val="center"/>
          </w:tcPr>
          <w:p w14:paraId="1B73885B" w14:textId="77777777" w:rsidR="00B73148" w:rsidRPr="00B73148" w:rsidRDefault="00B73148" w:rsidP="00310D7F">
            <w:pPr>
              <w:spacing w:line="220" w:lineRule="exact"/>
              <w:jc w:val="center"/>
              <w:rPr>
                <w:b/>
                <w:spacing w:val="6"/>
                <w:sz w:val="26"/>
                <w:szCs w:val="26"/>
              </w:rPr>
            </w:pPr>
            <w:r w:rsidRPr="00B73148">
              <w:rPr>
                <w:b/>
                <w:spacing w:val="6"/>
                <w:sz w:val="26"/>
                <w:szCs w:val="26"/>
              </w:rPr>
              <w:t>1,5%</w:t>
            </w:r>
          </w:p>
          <w:p w14:paraId="3A42D71D" w14:textId="77777777" w:rsidR="00B73148" w:rsidRPr="007A7344" w:rsidRDefault="00B73148" w:rsidP="00310D7F">
            <w:pPr>
              <w:spacing w:line="220" w:lineRule="exact"/>
              <w:jc w:val="center"/>
              <w:rPr>
                <w:spacing w:val="6"/>
                <w:sz w:val="22"/>
                <w:szCs w:val="22"/>
              </w:rPr>
            </w:pPr>
            <w:r w:rsidRPr="007A7344">
              <w:rPr>
                <w:spacing w:val="6"/>
                <w:sz w:val="22"/>
                <w:szCs w:val="22"/>
              </w:rPr>
              <w:t>si se ejercita</w:t>
            </w:r>
          </w:p>
        </w:tc>
      </w:tr>
      <w:tr w:rsidR="00B73148" w:rsidRPr="00B73148" w14:paraId="1BD1642A" w14:textId="77777777" w:rsidTr="008E2E05">
        <w:trPr>
          <w:trHeight w:val="363"/>
        </w:trPr>
        <w:tc>
          <w:tcPr>
            <w:tcW w:w="2757" w:type="dxa"/>
            <w:tcBorders>
              <w:top w:val="single" w:sz="12" w:space="0" w:color="auto"/>
              <w:left w:val="single" w:sz="18" w:space="0" w:color="auto"/>
              <w:bottom w:val="single" w:sz="12" w:space="0" w:color="auto"/>
              <w:right w:val="single" w:sz="18" w:space="0" w:color="auto"/>
            </w:tcBorders>
            <w:shd w:val="clear" w:color="auto" w:fill="E7E6E6"/>
            <w:vAlign w:val="center"/>
          </w:tcPr>
          <w:p w14:paraId="7A55F793" w14:textId="77777777" w:rsidR="00B73148" w:rsidRPr="00B73148" w:rsidRDefault="00B73148" w:rsidP="00CC22AE">
            <w:pPr>
              <w:spacing w:before="60" w:line="200" w:lineRule="exact"/>
              <w:jc w:val="center"/>
              <w:rPr>
                <w:b/>
                <w:spacing w:val="6"/>
                <w:sz w:val="22"/>
                <w:szCs w:val="22"/>
              </w:rPr>
            </w:pPr>
            <w:r w:rsidRPr="00B73148">
              <w:rPr>
                <w:b/>
                <w:spacing w:val="6"/>
                <w:sz w:val="22"/>
                <w:szCs w:val="22"/>
              </w:rPr>
              <w:t>Explotación agraria prioritaria</w:t>
            </w:r>
          </w:p>
          <w:p w14:paraId="4F07BEC8" w14:textId="77777777" w:rsidR="00B73148" w:rsidRPr="005F6FE4" w:rsidRDefault="009857CD" w:rsidP="005F6FE4">
            <w:pPr>
              <w:spacing w:after="40" w:line="200" w:lineRule="exact"/>
              <w:jc w:val="center"/>
              <w:rPr>
                <w:b/>
                <w:spacing w:val="6"/>
              </w:rPr>
            </w:pPr>
            <w:hyperlink r:id="rId127" w:anchor="a30" w:history="1">
              <w:r w:rsidRPr="009857CD">
                <w:rPr>
                  <w:rStyle w:val="Hipervnculo"/>
                  <w:rFonts w:ascii="Times New Roman" w:eastAsia="Calibri" w:hAnsi="Times New Roman"/>
                  <w:lang w:val="es-ES" w:eastAsia="en-US"/>
                </w:rPr>
                <w:t>a</w:t>
              </w:r>
              <w:r w:rsidR="00DC534B" w:rsidRPr="009857CD">
                <w:rPr>
                  <w:rStyle w:val="Hipervnculo"/>
                  <w:rFonts w:ascii="Times New Roman" w:eastAsia="Calibri" w:hAnsi="Times New Roman"/>
                  <w:lang w:val="es-ES" w:eastAsia="en-US"/>
                </w:rPr>
                <w:t>rts. 30 y 32 quáter</w:t>
              </w:r>
            </w:hyperlink>
          </w:p>
        </w:tc>
        <w:tc>
          <w:tcPr>
            <w:tcW w:w="2252" w:type="dxa"/>
            <w:tcBorders>
              <w:top w:val="single" w:sz="12" w:space="0" w:color="auto"/>
              <w:left w:val="single" w:sz="18" w:space="0" w:color="auto"/>
              <w:bottom w:val="single" w:sz="12" w:space="0" w:color="auto"/>
            </w:tcBorders>
            <w:shd w:val="clear" w:color="auto" w:fill="E7E6E6"/>
            <w:vAlign w:val="center"/>
          </w:tcPr>
          <w:p w14:paraId="772EEC93" w14:textId="77777777" w:rsidR="00B73148" w:rsidRPr="00DC534B" w:rsidRDefault="00B73148" w:rsidP="00B73148">
            <w:pPr>
              <w:spacing w:line="280" w:lineRule="atLeast"/>
              <w:jc w:val="center"/>
              <w:rPr>
                <w:b/>
                <w:spacing w:val="6"/>
                <w:sz w:val="18"/>
                <w:szCs w:val="18"/>
              </w:rPr>
            </w:pPr>
            <w:r w:rsidRPr="00DC534B">
              <w:rPr>
                <w:b/>
                <w:spacing w:val="6"/>
                <w:sz w:val="18"/>
                <w:szCs w:val="18"/>
              </w:rPr>
              <w:t>3%</w:t>
            </w:r>
            <w:r w:rsidR="00DC534B" w:rsidRPr="00DC534B">
              <w:rPr>
                <w:b/>
                <w:spacing w:val="6"/>
                <w:sz w:val="18"/>
                <w:szCs w:val="18"/>
              </w:rPr>
              <w:t xml:space="preserve"> + deducción 100%</w:t>
            </w:r>
          </w:p>
          <w:p w14:paraId="5E36AF26" w14:textId="77777777" w:rsidR="00B73148" w:rsidRPr="00860114" w:rsidRDefault="00B73148" w:rsidP="005F6FE4">
            <w:pPr>
              <w:spacing w:after="40" w:line="180" w:lineRule="exact"/>
              <w:jc w:val="center"/>
              <w:rPr>
                <w:rFonts w:ascii="Times New Roman" w:hAnsi="Times New Roman"/>
                <w:b/>
                <w:spacing w:val="6"/>
                <w:sz w:val="18"/>
                <w:szCs w:val="18"/>
              </w:rPr>
            </w:pPr>
            <w:r w:rsidRPr="00860114">
              <w:rPr>
                <w:rFonts w:ascii="Times New Roman" w:hAnsi="Times New Roman"/>
                <w:sz w:val="18"/>
                <w:szCs w:val="18"/>
              </w:rPr>
              <w:t>En la base no</w:t>
            </w:r>
            <w:r w:rsidR="00860114" w:rsidRPr="00860114">
              <w:rPr>
                <w:rFonts w:ascii="Times New Roman" w:hAnsi="Times New Roman"/>
                <w:sz w:val="18"/>
                <w:szCs w:val="18"/>
              </w:rPr>
              <w:t xml:space="preserve"> reducida</w:t>
            </w:r>
            <w:r w:rsidRPr="00860114">
              <w:rPr>
                <w:rFonts w:ascii="Times New Roman" w:hAnsi="Times New Roman"/>
                <w:sz w:val="18"/>
                <w:szCs w:val="18"/>
              </w:rPr>
              <w:t xml:space="preserve"> conforme a la </w:t>
            </w:r>
            <w:hyperlink r:id="rId128" w:history="1">
              <w:r w:rsidRPr="00860114">
                <w:rPr>
                  <w:rFonts w:ascii="Times New Roman" w:hAnsi="Times New Roman"/>
                  <w:color w:val="0000FF"/>
                  <w:spacing w:val="6"/>
                  <w:sz w:val="18"/>
                  <w:szCs w:val="18"/>
                  <w:u w:val="single"/>
                </w:rPr>
                <w:t>Ley 19/1995</w:t>
              </w:r>
            </w:hyperlink>
          </w:p>
        </w:tc>
        <w:tc>
          <w:tcPr>
            <w:tcW w:w="2032" w:type="dxa"/>
            <w:tcBorders>
              <w:top w:val="single" w:sz="12" w:space="0" w:color="auto"/>
              <w:bottom w:val="single" w:sz="12" w:space="0" w:color="auto"/>
              <w:right w:val="single" w:sz="18" w:space="0" w:color="auto"/>
            </w:tcBorders>
            <w:shd w:val="clear" w:color="auto" w:fill="E7E6E6"/>
            <w:vAlign w:val="center"/>
          </w:tcPr>
          <w:p w14:paraId="72EA266F" w14:textId="77777777" w:rsidR="00B73148" w:rsidRPr="00B73148" w:rsidRDefault="00B73148" w:rsidP="00B73148">
            <w:pPr>
              <w:spacing w:line="280" w:lineRule="atLeast"/>
              <w:jc w:val="center"/>
              <w:rPr>
                <w:b/>
                <w:spacing w:val="6"/>
                <w:sz w:val="26"/>
                <w:szCs w:val="26"/>
              </w:rPr>
            </w:pPr>
            <w:r w:rsidRPr="00B73148">
              <w:rPr>
                <w:b/>
                <w:spacing w:val="6"/>
                <w:sz w:val="26"/>
                <w:szCs w:val="26"/>
              </w:rPr>
              <w:t>-</w:t>
            </w:r>
          </w:p>
        </w:tc>
      </w:tr>
      <w:tr w:rsidR="00B73148" w:rsidRPr="00B73148" w14:paraId="554461C1" w14:textId="77777777" w:rsidTr="00F273BE">
        <w:trPr>
          <w:trHeight w:val="363"/>
        </w:trPr>
        <w:tc>
          <w:tcPr>
            <w:tcW w:w="2757" w:type="dxa"/>
            <w:tcBorders>
              <w:top w:val="single" w:sz="12" w:space="0" w:color="auto"/>
              <w:left w:val="single" w:sz="18" w:space="0" w:color="auto"/>
              <w:bottom w:val="single" w:sz="18" w:space="0" w:color="auto"/>
              <w:right w:val="single" w:sz="18" w:space="0" w:color="auto"/>
            </w:tcBorders>
            <w:vAlign w:val="center"/>
          </w:tcPr>
          <w:p w14:paraId="4AFC7234" w14:textId="77777777" w:rsidR="00B73148" w:rsidRPr="00310D7F" w:rsidRDefault="00B73148" w:rsidP="00F273BE">
            <w:pPr>
              <w:spacing w:before="60" w:line="200" w:lineRule="exact"/>
              <w:jc w:val="center"/>
              <w:rPr>
                <w:b/>
                <w:spacing w:val="6"/>
              </w:rPr>
            </w:pPr>
            <w:r w:rsidRPr="00310D7F">
              <w:rPr>
                <w:b/>
                <w:spacing w:val="6"/>
              </w:rPr>
              <w:t>Con destino arrendamiento para vivienda habitual</w:t>
            </w:r>
          </w:p>
          <w:p w14:paraId="51B611A7" w14:textId="77777777" w:rsidR="00B73148" w:rsidRPr="005F6FE4" w:rsidRDefault="00B73148" w:rsidP="00F273BE">
            <w:pPr>
              <w:spacing w:after="60" w:line="220" w:lineRule="atLeast"/>
              <w:jc w:val="center"/>
              <w:rPr>
                <w:b/>
                <w:spacing w:val="6"/>
              </w:rPr>
            </w:pPr>
            <w:hyperlink r:id="rId129" w:anchor="a31" w:history="1">
              <w:r w:rsidRPr="005F6FE4">
                <w:rPr>
                  <w:color w:val="0563C1"/>
                  <w:spacing w:val="6"/>
                  <w:u w:val="single"/>
                </w:rPr>
                <w:t>arts. 31, 37 y 38</w:t>
              </w:r>
            </w:hyperlink>
          </w:p>
        </w:tc>
        <w:tc>
          <w:tcPr>
            <w:tcW w:w="2252" w:type="dxa"/>
            <w:tcBorders>
              <w:top w:val="single" w:sz="12" w:space="0" w:color="auto"/>
              <w:left w:val="single" w:sz="18" w:space="0" w:color="auto"/>
              <w:bottom w:val="single" w:sz="18" w:space="0" w:color="auto"/>
            </w:tcBorders>
            <w:vAlign w:val="center"/>
          </w:tcPr>
          <w:p w14:paraId="2A2DC0EC" w14:textId="77777777" w:rsidR="00B73148" w:rsidRPr="00234EE2" w:rsidRDefault="00B73148" w:rsidP="00234EE2">
            <w:pPr>
              <w:spacing w:line="180" w:lineRule="exact"/>
              <w:jc w:val="center"/>
              <w:rPr>
                <w:spacing w:val="6"/>
              </w:rPr>
            </w:pPr>
            <w:r w:rsidRPr="00234EE2">
              <w:rPr>
                <w:spacing w:val="6"/>
              </w:rPr>
              <w:t>3%</w:t>
            </w:r>
          </w:p>
          <w:p w14:paraId="50D00890" w14:textId="7C59EDFF" w:rsidR="00234EE2" w:rsidRPr="00B73148" w:rsidRDefault="00234EE2" w:rsidP="00234EE2">
            <w:pPr>
              <w:spacing w:line="180" w:lineRule="exact"/>
              <w:jc w:val="center"/>
              <w:rPr>
                <w:b/>
                <w:spacing w:val="6"/>
                <w:sz w:val="26"/>
                <w:szCs w:val="26"/>
              </w:rPr>
            </w:pPr>
            <w:r w:rsidRPr="00234EE2">
              <w:rPr>
                <w:spacing w:val="6"/>
              </w:rPr>
              <w:t>(derogado desde el 01/01/2026)</w:t>
            </w:r>
          </w:p>
        </w:tc>
        <w:tc>
          <w:tcPr>
            <w:tcW w:w="2032" w:type="dxa"/>
            <w:tcBorders>
              <w:top w:val="single" w:sz="12" w:space="0" w:color="auto"/>
              <w:bottom w:val="single" w:sz="18" w:space="0" w:color="auto"/>
              <w:right w:val="single" w:sz="18" w:space="0" w:color="auto"/>
            </w:tcBorders>
            <w:vAlign w:val="center"/>
          </w:tcPr>
          <w:p w14:paraId="57E54E6F" w14:textId="77777777" w:rsidR="00B73148" w:rsidRPr="00B73148" w:rsidRDefault="00B73148" w:rsidP="00B73148">
            <w:pPr>
              <w:spacing w:line="280" w:lineRule="atLeast"/>
              <w:jc w:val="center"/>
              <w:rPr>
                <w:b/>
                <w:spacing w:val="6"/>
                <w:sz w:val="26"/>
                <w:szCs w:val="26"/>
              </w:rPr>
            </w:pPr>
            <w:r w:rsidRPr="00B73148">
              <w:rPr>
                <w:b/>
                <w:spacing w:val="6"/>
                <w:sz w:val="26"/>
                <w:szCs w:val="26"/>
              </w:rPr>
              <w:t>0,3%</w:t>
            </w:r>
          </w:p>
          <w:p w14:paraId="12FED52A" w14:textId="77777777" w:rsidR="00B73148" w:rsidRPr="00CC22AE" w:rsidRDefault="00B73148" w:rsidP="00CC22AE">
            <w:pPr>
              <w:spacing w:line="160" w:lineRule="exact"/>
              <w:jc w:val="center"/>
              <w:rPr>
                <w:b/>
                <w:spacing w:val="6"/>
                <w:sz w:val="18"/>
                <w:szCs w:val="18"/>
              </w:rPr>
            </w:pPr>
            <w:r w:rsidRPr="00CC22AE">
              <w:rPr>
                <w:spacing w:val="6"/>
                <w:sz w:val="18"/>
                <w:szCs w:val="18"/>
              </w:rPr>
              <w:t>declaración de obra y división horizontal también 0,3%</w:t>
            </w:r>
          </w:p>
        </w:tc>
      </w:tr>
    </w:tbl>
    <w:p w14:paraId="3B671D7A" w14:textId="77777777" w:rsidR="00374697" w:rsidRPr="00374697" w:rsidRDefault="00374697" w:rsidP="00374697">
      <w:pPr>
        <w:tabs>
          <w:tab w:val="num" w:pos="2520"/>
        </w:tabs>
        <w:spacing w:line="280" w:lineRule="atLeast"/>
        <w:ind w:left="1224"/>
        <w:jc w:val="both"/>
        <w:rPr>
          <w:b/>
          <w:color w:val="FF0000"/>
          <w:spacing w:val="6"/>
          <w:sz w:val="22"/>
          <w:szCs w:val="22"/>
        </w:rPr>
      </w:pPr>
      <w:bookmarkStart w:id="48" w:name="interpretación"/>
      <w:bookmarkEnd w:id="48"/>
      <w:r>
        <w:rPr>
          <w:b/>
          <w:color w:val="FF0000"/>
          <w:spacing w:val="6"/>
          <w:sz w:val="22"/>
          <w:szCs w:val="22"/>
        </w:rPr>
        <w:br w:type="page"/>
      </w:r>
      <w:bookmarkEnd w:id="47"/>
    </w:p>
    <w:p w14:paraId="7DE2AE87" w14:textId="77777777" w:rsidR="00092506" w:rsidRDefault="00092506" w:rsidP="00C854F8">
      <w:pPr>
        <w:numPr>
          <w:ilvl w:val="2"/>
          <w:numId w:val="15"/>
        </w:numPr>
        <w:tabs>
          <w:tab w:val="num" w:pos="2520"/>
        </w:tabs>
        <w:spacing w:line="280" w:lineRule="atLeast"/>
        <w:jc w:val="both"/>
        <w:rPr>
          <w:b/>
          <w:color w:val="FF0000"/>
          <w:spacing w:val="6"/>
          <w:sz w:val="22"/>
          <w:szCs w:val="22"/>
        </w:rPr>
      </w:pPr>
      <w:bookmarkStart w:id="49" w:name="_Hlk215591553"/>
      <w:r>
        <w:rPr>
          <w:b/>
          <w:spacing w:val="6"/>
          <w:sz w:val="26"/>
          <w:szCs w:val="26"/>
        </w:rPr>
        <w:lastRenderedPageBreak/>
        <w:t>Interpretación ITPO inmuebles</w:t>
      </w:r>
    </w:p>
    <w:bookmarkEnd w:id="49"/>
    <w:p w14:paraId="7C4E6FBE" w14:textId="77777777" w:rsidR="00092506" w:rsidRDefault="00092506">
      <w:pPr>
        <w:spacing w:line="280" w:lineRule="atLeast"/>
        <w:ind w:left="1440"/>
        <w:jc w:val="both"/>
        <w:rPr>
          <w:spacing w:val="6"/>
          <w:sz w:val="26"/>
          <w:szCs w:val="26"/>
        </w:rPr>
      </w:pPr>
      <w:r>
        <w:rPr>
          <w:spacing w:val="6"/>
          <w:sz w:val="26"/>
          <w:szCs w:val="26"/>
        </w:rPr>
        <w:t xml:space="preserve">Según el </w:t>
      </w:r>
      <w:hyperlink r:id="rId130" w:anchor="t1c4s1" w:history="1">
        <w:r>
          <w:rPr>
            <w:rStyle w:val="Hipervnculo"/>
            <w:spacing w:val="6"/>
            <w:sz w:val="26"/>
            <w:szCs w:val="26"/>
            <w:lang w:val="es-ES"/>
          </w:rPr>
          <w:t>a</w:t>
        </w:r>
        <w:r w:rsidRPr="00092506">
          <w:rPr>
            <w:rStyle w:val="Hipervnculo"/>
            <w:spacing w:val="6"/>
            <w:sz w:val="26"/>
            <w:szCs w:val="26"/>
            <w:lang w:val="es-ES"/>
          </w:rPr>
          <w:t>rt. 26 del Decreto-legislativo asturiano 2/2014</w:t>
        </w:r>
      </w:hyperlink>
      <w:r>
        <w:rPr>
          <w:spacing w:val="6"/>
          <w:sz w:val="26"/>
          <w:szCs w:val="26"/>
        </w:rPr>
        <w:t>, tratándose de bienes inmuebles, el I</w:t>
      </w:r>
      <w:r w:rsidRPr="00092506">
        <w:rPr>
          <w:spacing w:val="6"/>
          <w:sz w:val="26"/>
          <w:szCs w:val="26"/>
        </w:rPr>
        <w:t>TPO</w:t>
      </w:r>
      <w:r>
        <w:rPr>
          <w:spacing w:val="6"/>
          <w:sz w:val="26"/>
          <w:szCs w:val="26"/>
        </w:rPr>
        <w:t xml:space="preserve"> es del</w:t>
      </w:r>
      <w:r w:rsidRPr="00092506">
        <w:rPr>
          <w:spacing w:val="6"/>
          <w:sz w:val="26"/>
          <w:szCs w:val="26"/>
        </w:rPr>
        <w:t xml:space="preserve"> 8% (hasta 300.000 €), 9% (entre 300.001 y 500.000 €) y 10% (lo que exceda)</w:t>
      </w:r>
      <w:r>
        <w:rPr>
          <w:spacing w:val="6"/>
          <w:sz w:val="26"/>
          <w:szCs w:val="26"/>
        </w:rPr>
        <w:t>.</w:t>
      </w:r>
    </w:p>
    <w:p w14:paraId="6821D238" w14:textId="77777777" w:rsidR="00B60C48" w:rsidRDefault="00B60C48" w:rsidP="00296795">
      <w:pPr>
        <w:spacing w:line="280" w:lineRule="atLeast"/>
        <w:ind w:left="1440"/>
        <w:jc w:val="both"/>
        <w:rPr>
          <w:spacing w:val="6"/>
          <w:sz w:val="26"/>
          <w:szCs w:val="26"/>
        </w:rPr>
      </w:pPr>
      <w:r>
        <w:rPr>
          <w:spacing w:val="6"/>
          <w:sz w:val="26"/>
          <w:szCs w:val="26"/>
        </w:rPr>
        <w:t>Pero añade</w:t>
      </w:r>
      <w:r w:rsidR="00296795" w:rsidRPr="00296795">
        <w:rPr>
          <w:spacing w:val="6"/>
          <w:sz w:val="26"/>
          <w:szCs w:val="26"/>
        </w:rPr>
        <w:t xml:space="preserve"> “</w:t>
      </w:r>
      <w:r w:rsidR="00296795" w:rsidRPr="00296795">
        <w:rPr>
          <w:i/>
          <w:spacing w:val="6"/>
          <w:sz w:val="26"/>
          <w:szCs w:val="26"/>
        </w:rPr>
        <w:t>... atendiendo al valor íntegro del bien o derecho, con independencia de que la transmisión, constitución o cesión objeto de gravamen no se realice sobre la totalidad del mismo...</w:t>
      </w:r>
      <w:r>
        <w:rPr>
          <w:spacing w:val="6"/>
          <w:sz w:val="26"/>
          <w:szCs w:val="26"/>
        </w:rPr>
        <w:t>”.</w:t>
      </w:r>
    </w:p>
    <w:p w14:paraId="748A9478" w14:textId="77777777" w:rsidR="00B60C48" w:rsidRDefault="00B60C48" w:rsidP="00296795">
      <w:pPr>
        <w:spacing w:line="280" w:lineRule="atLeast"/>
        <w:ind w:left="1440"/>
        <w:jc w:val="both"/>
        <w:rPr>
          <w:spacing w:val="6"/>
          <w:sz w:val="26"/>
          <w:szCs w:val="26"/>
        </w:rPr>
      </w:pPr>
      <w:bookmarkStart w:id="50" w:name="_Hlk156057891"/>
      <w:r>
        <w:rPr>
          <w:spacing w:val="6"/>
          <w:sz w:val="26"/>
          <w:szCs w:val="26"/>
        </w:rPr>
        <w:t xml:space="preserve">Ello ha sido interpretado, en orden a la determinación del tipo de gravamen aplicable, por </w:t>
      </w:r>
      <w:bookmarkStart w:id="51" w:name="_Hlk219793797"/>
      <w:r w:rsidRPr="00B60C48">
        <w:rPr>
          <w:spacing w:val="6"/>
          <w:sz w:val="26"/>
          <w:szCs w:val="26"/>
        </w:rPr>
        <w:t xml:space="preserve">la </w:t>
      </w:r>
      <w:hyperlink r:id="rId131" w:history="1">
        <w:r w:rsidRPr="00F849AC">
          <w:rPr>
            <w:rStyle w:val="Hipervnculo"/>
            <w:spacing w:val="6"/>
            <w:sz w:val="26"/>
            <w:szCs w:val="26"/>
          </w:rPr>
          <w:t>Consulta Tributaria - Dictamen 1/2018 de la Dirección General de Finanzas y Economía de la Consejería de Hacienda y Sector Público</w:t>
        </w:r>
      </w:hyperlink>
      <w:bookmarkEnd w:id="51"/>
      <w:r>
        <w:rPr>
          <w:spacing w:val="6"/>
          <w:sz w:val="26"/>
          <w:szCs w:val="26"/>
        </w:rPr>
        <w:t xml:space="preserve"> de la siguiente manera:</w:t>
      </w:r>
    </w:p>
    <w:p w14:paraId="036EAF8A" w14:textId="77777777" w:rsidR="00296795" w:rsidRDefault="00B60C48" w:rsidP="00C854F8">
      <w:pPr>
        <w:numPr>
          <w:ilvl w:val="0"/>
          <w:numId w:val="28"/>
        </w:numPr>
        <w:spacing w:line="280" w:lineRule="atLeast"/>
        <w:jc w:val="both"/>
        <w:rPr>
          <w:spacing w:val="6"/>
          <w:sz w:val="26"/>
          <w:szCs w:val="26"/>
        </w:rPr>
      </w:pPr>
      <w:r>
        <w:rPr>
          <w:spacing w:val="6"/>
          <w:sz w:val="26"/>
          <w:szCs w:val="26"/>
        </w:rPr>
        <w:t>L</w:t>
      </w:r>
      <w:r w:rsidRPr="00B60C48">
        <w:rPr>
          <w:spacing w:val="6"/>
          <w:sz w:val="26"/>
          <w:szCs w:val="26"/>
        </w:rPr>
        <w:t>os distintos tipos no se aplican por tramos sin</w:t>
      </w:r>
      <w:r>
        <w:rPr>
          <w:spacing w:val="6"/>
          <w:sz w:val="26"/>
          <w:szCs w:val="26"/>
        </w:rPr>
        <w:t>o en función del total valor del bien</w:t>
      </w:r>
      <w:r w:rsidRPr="00B60C48">
        <w:rPr>
          <w:spacing w:val="6"/>
          <w:sz w:val="26"/>
          <w:szCs w:val="26"/>
        </w:rPr>
        <w:t>.</w:t>
      </w:r>
    </w:p>
    <w:p w14:paraId="485102FF" w14:textId="77777777" w:rsidR="00FF7E97" w:rsidRPr="00FF7E97" w:rsidRDefault="00FF7E97" w:rsidP="00C854F8">
      <w:pPr>
        <w:numPr>
          <w:ilvl w:val="0"/>
          <w:numId w:val="28"/>
        </w:numPr>
        <w:spacing w:line="280" w:lineRule="atLeast"/>
        <w:jc w:val="both"/>
        <w:rPr>
          <w:spacing w:val="6"/>
          <w:sz w:val="26"/>
          <w:szCs w:val="26"/>
        </w:rPr>
      </w:pPr>
      <w:r w:rsidRPr="00FF7E97">
        <w:rPr>
          <w:spacing w:val="6"/>
          <w:sz w:val="26"/>
          <w:szCs w:val="26"/>
        </w:rPr>
        <w:t>En la transmisión conjunta de vivienda y garajes/trasteros, se atien</w:t>
      </w:r>
      <w:r>
        <w:rPr>
          <w:spacing w:val="6"/>
          <w:sz w:val="26"/>
          <w:szCs w:val="26"/>
        </w:rPr>
        <w:t>de al valor total de cada uno d</w:t>
      </w:r>
      <w:r w:rsidRPr="00FF7E97">
        <w:rPr>
          <w:spacing w:val="6"/>
          <w:sz w:val="26"/>
          <w:szCs w:val="26"/>
        </w:rPr>
        <w:t>e</w:t>
      </w:r>
      <w:r>
        <w:rPr>
          <w:spacing w:val="6"/>
          <w:sz w:val="26"/>
          <w:szCs w:val="26"/>
        </w:rPr>
        <w:t xml:space="preserve"> </w:t>
      </w:r>
      <w:r w:rsidRPr="00FF7E97">
        <w:rPr>
          <w:spacing w:val="6"/>
          <w:sz w:val="26"/>
          <w:szCs w:val="26"/>
        </w:rPr>
        <w:t>los elementos, salvo que éstos sean anejo inseparable de aquélla.</w:t>
      </w:r>
    </w:p>
    <w:p w14:paraId="66ECBD83" w14:textId="77777777" w:rsidR="00296795" w:rsidRPr="00296795" w:rsidRDefault="00B60C48" w:rsidP="00C854F8">
      <w:pPr>
        <w:numPr>
          <w:ilvl w:val="0"/>
          <w:numId w:val="26"/>
        </w:numPr>
        <w:spacing w:line="280" w:lineRule="atLeast"/>
        <w:jc w:val="both"/>
        <w:rPr>
          <w:spacing w:val="6"/>
          <w:sz w:val="26"/>
          <w:szCs w:val="26"/>
        </w:rPr>
      </w:pPr>
      <w:r>
        <w:rPr>
          <w:spacing w:val="6"/>
          <w:sz w:val="26"/>
          <w:szCs w:val="26"/>
        </w:rPr>
        <w:t>En la t</w:t>
      </w:r>
      <w:r w:rsidR="00296795" w:rsidRPr="00296795">
        <w:rPr>
          <w:spacing w:val="6"/>
          <w:sz w:val="26"/>
          <w:szCs w:val="26"/>
        </w:rPr>
        <w:t>ransmisió</w:t>
      </w:r>
      <w:r>
        <w:rPr>
          <w:spacing w:val="6"/>
          <w:sz w:val="26"/>
          <w:szCs w:val="26"/>
        </w:rPr>
        <w:t>n de una participación indivisa</w:t>
      </w:r>
      <w:r w:rsidR="00296795" w:rsidRPr="00296795">
        <w:rPr>
          <w:spacing w:val="6"/>
          <w:sz w:val="26"/>
          <w:szCs w:val="26"/>
        </w:rPr>
        <w:t xml:space="preserve"> hay que atender al </w:t>
      </w:r>
      <w:r>
        <w:rPr>
          <w:spacing w:val="6"/>
          <w:sz w:val="26"/>
          <w:szCs w:val="26"/>
        </w:rPr>
        <w:t xml:space="preserve">total </w:t>
      </w:r>
      <w:r w:rsidR="00296795" w:rsidRPr="00296795">
        <w:rPr>
          <w:spacing w:val="6"/>
          <w:sz w:val="26"/>
          <w:szCs w:val="26"/>
        </w:rPr>
        <w:t>valor del bien, salvo en las participaciones con asignación de uso de garajes y trasteros configurados como fincas registrales independientes.</w:t>
      </w:r>
    </w:p>
    <w:p w14:paraId="232F325E" w14:textId="77777777" w:rsidR="00296795" w:rsidRDefault="00B60C48" w:rsidP="00C854F8">
      <w:pPr>
        <w:numPr>
          <w:ilvl w:val="0"/>
          <w:numId w:val="26"/>
        </w:numPr>
        <w:spacing w:line="280" w:lineRule="atLeast"/>
        <w:jc w:val="both"/>
        <w:rPr>
          <w:spacing w:val="6"/>
          <w:sz w:val="26"/>
          <w:szCs w:val="26"/>
        </w:rPr>
      </w:pPr>
      <w:r w:rsidRPr="00B60C48">
        <w:rPr>
          <w:spacing w:val="6"/>
          <w:sz w:val="26"/>
          <w:szCs w:val="26"/>
        </w:rPr>
        <w:t>En la t</w:t>
      </w:r>
      <w:r w:rsidR="00296795" w:rsidRPr="00B60C48">
        <w:rPr>
          <w:spacing w:val="6"/>
          <w:sz w:val="26"/>
          <w:szCs w:val="26"/>
        </w:rPr>
        <w:t>ransmisión del bien</w:t>
      </w:r>
      <w:r w:rsidRPr="00B60C48">
        <w:rPr>
          <w:spacing w:val="6"/>
          <w:sz w:val="26"/>
          <w:szCs w:val="26"/>
        </w:rPr>
        <w:t xml:space="preserve"> por participaciones indivisas </w:t>
      </w:r>
      <w:r w:rsidR="00296795" w:rsidRPr="00B60C48">
        <w:rPr>
          <w:spacing w:val="6"/>
          <w:sz w:val="26"/>
          <w:szCs w:val="26"/>
        </w:rPr>
        <w:t xml:space="preserve">hay que atender al </w:t>
      </w:r>
      <w:r w:rsidRPr="00B60C48">
        <w:rPr>
          <w:spacing w:val="6"/>
          <w:sz w:val="26"/>
          <w:szCs w:val="26"/>
        </w:rPr>
        <w:t>total valor del bien, lo mismo que en la</w:t>
      </w:r>
      <w:r>
        <w:rPr>
          <w:spacing w:val="6"/>
          <w:sz w:val="26"/>
          <w:szCs w:val="26"/>
        </w:rPr>
        <w:t xml:space="preserve"> a</w:t>
      </w:r>
      <w:r w:rsidR="00296795" w:rsidRPr="00B60C48">
        <w:rPr>
          <w:spacing w:val="6"/>
          <w:sz w:val="26"/>
          <w:szCs w:val="26"/>
        </w:rPr>
        <w:t>dquisición por es</w:t>
      </w:r>
      <w:r>
        <w:rPr>
          <w:spacing w:val="6"/>
          <w:sz w:val="26"/>
          <w:szCs w:val="26"/>
        </w:rPr>
        <w:t>posos con carácter ganancial.</w:t>
      </w:r>
    </w:p>
    <w:p w14:paraId="64AC0994" w14:textId="77777777" w:rsidR="00136ACA" w:rsidRPr="00A903FD" w:rsidRDefault="003D6F7A" w:rsidP="00C854F8">
      <w:pPr>
        <w:numPr>
          <w:ilvl w:val="1"/>
          <w:numId w:val="15"/>
        </w:numPr>
        <w:tabs>
          <w:tab w:val="num" w:pos="2520"/>
        </w:tabs>
        <w:spacing w:line="280" w:lineRule="atLeast"/>
        <w:jc w:val="both"/>
        <w:rPr>
          <w:b/>
          <w:color w:val="000000"/>
          <w:spacing w:val="6"/>
          <w:sz w:val="22"/>
          <w:szCs w:val="22"/>
        </w:rPr>
      </w:pPr>
      <w:bookmarkStart w:id="52" w:name="incrementado22"/>
      <w:bookmarkStart w:id="53" w:name="_Hlk215599757"/>
      <w:bookmarkStart w:id="54" w:name="_Hlk227227452"/>
      <w:bookmarkEnd w:id="52"/>
      <w:r w:rsidRPr="00A903FD">
        <w:rPr>
          <w:b/>
          <w:color w:val="000000"/>
          <w:spacing w:val="6"/>
          <w:sz w:val="26"/>
          <w:szCs w:val="26"/>
        </w:rPr>
        <w:t xml:space="preserve">Tipo incrementado del 20% en </w:t>
      </w:r>
      <w:r w:rsidR="00136ACA" w:rsidRPr="00A903FD">
        <w:rPr>
          <w:b/>
          <w:color w:val="000000"/>
          <w:spacing w:val="6"/>
          <w:sz w:val="26"/>
          <w:szCs w:val="26"/>
        </w:rPr>
        <w:t>TPO</w:t>
      </w:r>
      <w:r w:rsidRPr="00A903FD">
        <w:rPr>
          <w:b/>
          <w:color w:val="000000"/>
          <w:spacing w:val="6"/>
          <w:sz w:val="26"/>
          <w:szCs w:val="26"/>
        </w:rPr>
        <w:t xml:space="preserve"> para grandes tenedores</w:t>
      </w:r>
    </w:p>
    <w:p w14:paraId="36F84CE8" w14:textId="77777777" w:rsidR="00DB3CC4" w:rsidRPr="00A903FD" w:rsidRDefault="00DB3CC4" w:rsidP="00C854F8">
      <w:pPr>
        <w:numPr>
          <w:ilvl w:val="2"/>
          <w:numId w:val="15"/>
        </w:numPr>
        <w:tabs>
          <w:tab w:val="num" w:pos="2520"/>
        </w:tabs>
        <w:spacing w:line="280" w:lineRule="atLeast"/>
        <w:jc w:val="both"/>
        <w:rPr>
          <w:b/>
          <w:color w:val="000000"/>
          <w:spacing w:val="6"/>
          <w:sz w:val="22"/>
          <w:szCs w:val="22"/>
        </w:rPr>
      </w:pPr>
      <w:bookmarkStart w:id="55" w:name="normativa221"/>
      <w:bookmarkStart w:id="56" w:name="_Hlk215596685"/>
      <w:bookmarkEnd w:id="53"/>
      <w:bookmarkEnd w:id="55"/>
      <w:r w:rsidRPr="00A903FD">
        <w:rPr>
          <w:b/>
          <w:color w:val="000000"/>
          <w:spacing w:val="6"/>
          <w:sz w:val="26"/>
          <w:szCs w:val="26"/>
        </w:rPr>
        <w:t>Normativa vigente</w:t>
      </w:r>
    </w:p>
    <w:bookmarkStart w:id="57" w:name="_Hlk215645720"/>
    <w:bookmarkEnd w:id="56"/>
    <w:p w14:paraId="6EAB2776" w14:textId="77777777" w:rsidR="00DB3CC4" w:rsidRPr="00711C0C" w:rsidRDefault="00A8409F" w:rsidP="00DB3CC4">
      <w:pPr>
        <w:tabs>
          <w:tab w:val="num" w:pos="2520"/>
        </w:tabs>
        <w:spacing w:line="280" w:lineRule="atLeast"/>
        <w:ind w:left="1440"/>
        <w:jc w:val="both"/>
        <w:rPr>
          <w:color w:val="000000" w:themeColor="text1"/>
          <w:spacing w:val="6"/>
          <w:sz w:val="26"/>
          <w:szCs w:val="26"/>
        </w:rPr>
      </w:pPr>
      <w:r>
        <w:rPr>
          <w:color w:val="000000"/>
          <w:spacing w:val="6"/>
          <w:sz w:val="26"/>
          <w:szCs w:val="26"/>
        </w:rPr>
        <w:fldChar w:fldCharType="begin"/>
      </w:r>
      <w:r>
        <w:rPr>
          <w:color w:val="000000"/>
          <w:spacing w:val="6"/>
          <w:sz w:val="26"/>
          <w:szCs w:val="26"/>
        </w:rPr>
        <w:instrText>HYPERLINK "https://noticias.juridicas.com/base_datos/CCAA/538599-decreto-legislativo-2-2014-de-22-de-octubre-por-el-que-se-aprueba-el-texto.html" \l "a31b"</w:instrText>
      </w:r>
      <w:r>
        <w:rPr>
          <w:color w:val="000000"/>
          <w:spacing w:val="6"/>
          <w:sz w:val="26"/>
          <w:szCs w:val="26"/>
        </w:rPr>
      </w:r>
      <w:r>
        <w:rPr>
          <w:color w:val="000000"/>
          <w:spacing w:val="6"/>
          <w:sz w:val="26"/>
          <w:szCs w:val="26"/>
        </w:rPr>
        <w:fldChar w:fldCharType="separate"/>
      </w:r>
      <w:r w:rsidR="00DB3CC4" w:rsidRPr="00A8409F">
        <w:rPr>
          <w:rStyle w:val="Hipervnculo"/>
          <w:spacing w:val="6"/>
          <w:sz w:val="26"/>
          <w:szCs w:val="26"/>
        </w:rPr>
        <w:t>Art. 31 bis del Decreto-legislativo asturiano 2/2024</w:t>
      </w:r>
      <w:r>
        <w:rPr>
          <w:color w:val="000000"/>
          <w:spacing w:val="6"/>
          <w:sz w:val="26"/>
          <w:szCs w:val="26"/>
        </w:rPr>
        <w:fldChar w:fldCharType="end"/>
      </w:r>
      <w:r w:rsidR="00DB3CC4" w:rsidRPr="00A903FD">
        <w:rPr>
          <w:color w:val="000000"/>
          <w:spacing w:val="6"/>
          <w:sz w:val="26"/>
          <w:szCs w:val="26"/>
        </w:rPr>
        <w:t xml:space="preserve"> (tras la reforma por </w:t>
      </w:r>
      <w:hyperlink r:id="rId132" w:history="1">
        <w:r w:rsidR="00DB3CC4" w:rsidRPr="00DB3CC4">
          <w:rPr>
            <w:rStyle w:val="Hipervnculo"/>
            <w:spacing w:val="6"/>
            <w:sz w:val="26"/>
            <w:szCs w:val="26"/>
          </w:rPr>
          <w:t>Ley 3/2025</w:t>
        </w:r>
      </w:hyperlink>
      <w:r w:rsidR="00DB3CC4" w:rsidRPr="00A903FD">
        <w:rPr>
          <w:color w:val="000000"/>
          <w:spacing w:val="6"/>
          <w:sz w:val="26"/>
          <w:szCs w:val="26"/>
        </w:rPr>
        <w:t xml:space="preserve">, en vigor desde el 3 de diciembre de 2025): </w:t>
      </w:r>
      <w:r w:rsidR="00DB3CC4" w:rsidRPr="00711C0C">
        <w:rPr>
          <w:color w:val="000000" w:themeColor="text1"/>
          <w:spacing w:val="6"/>
          <w:sz w:val="26"/>
          <w:szCs w:val="26"/>
        </w:rPr>
        <w:t>Tipo incrementado del 20% para las transmisiones de vivienda cuando el adquirente sea una persona física o jurídica que tenga la consideración de gran tenedor, por ser titular (sumado el adquirido) de más de 10 inmuebles de uso residencial o si suman más de 1500 m2 (más de 5 o 750 m2 en zonas declaradas tensionadas), excluyendo garajes y trasteros.</w:t>
      </w:r>
    </w:p>
    <w:p w14:paraId="3715C923" w14:textId="77777777" w:rsidR="00E869BD" w:rsidRPr="00711C0C" w:rsidRDefault="00E869BD" w:rsidP="00DB3CC4">
      <w:pPr>
        <w:tabs>
          <w:tab w:val="num" w:pos="2520"/>
        </w:tabs>
        <w:spacing w:line="280" w:lineRule="atLeast"/>
        <w:ind w:left="1440"/>
        <w:jc w:val="both"/>
        <w:rPr>
          <w:color w:val="000000" w:themeColor="text1"/>
          <w:spacing w:val="6"/>
          <w:sz w:val="26"/>
          <w:szCs w:val="26"/>
        </w:rPr>
      </w:pPr>
      <w:r w:rsidRPr="00711C0C">
        <w:rPr>
          <w:color w:val="000000" w:themeColor="text1"/>
          <w:spacing w:val="6"/>
          <w:sz w:val="26"/>
          <w:szCs w:val="26"/>
        </w:rPr>
        <w:t>Se exceptúan:</w:t>
      </w:r>
    </w:p>
    <w:p w14:paraId="59D21383" w14:textId="77777777" w:rsidR="00E869BD" w:rsidRPr="00711C0C" w:rsidRDefault="00E869BD" w:rsidP="00DB3CC4">
      <w:pPr>
        <w:tabs>
          <w:tab w:val="num" w:pos="2520"/>
        </w:tabs>
        <w:spacing w:line="280" w:lineRule="atLeast"/>
        <w:ind w:left="1440"/>
        <w:jc w:val="both"/>
        <w:rPr>
          <w:color w:val="000000" w:themeColor="text1"/>
          <w:spacing w:val="6"/>
          <w:sz w:val="26"/>
          <w:szCs w:val="26"/>
        </w:rPr>
      </w:pPr>
      <w:r w:rsidRPr="00711C0C">
        <w:rPr>
          <w:color w:val="000000" w:themeColor="text1"/>
          <w:spacing w:val="6"/>
          <w:sz w:val="26"/>
          <w:szCs w:val="26"/>
        </w:rPr>
        <w:t>- Los promotores sociales de vivienda para familias vulnerables que así lo acrediten mediante certificación de la Consejería competente en materia de vivienda.</w:t>
      </w:r>
    </w:p>
    <w:p w14:paraId="6B437396" w14:textId="0267AB92" w:rsidR="00E869BD" w:rsidRDefault="00E869BD" w:rsidP="00DB3CC4">
      <w:pPr>
        <w:tabs>
          <w:tab w:val="num" w:pos="2520"/>
        </w:tabs>
        <w:spacing w:line="280" w:lineRule="atLeast"/>
        <w:ind w:left="1440"/>
        <w:jc w:val="both"/>
        <w:rPr>
          <w:color w:val="000000" w:themeColor="text1"/>
          <w:spacing w:val="6"/>
          <w:sz w:val="26"/>
          <w:szCs w:val="26"/>
        </w:rPr>
      </w:pPr>
      <w:r w:rsidRPr="00711C0C">
        <w:rPr>
          <w:color w:val="000000" w:themeColor="text1"/>
          <w:spacing w:val="6"/>
          <w:sz w:val="26"/>
          <w:szCs w:val="26"/>
        </w:rPr>
        <w:t>- Las adquis</w:t>
      </w:r>
      <w:r w:rsidR="00600BF5" w:rsidRPr="00711C0C">
        <w:rPr>
          <w:color w:val="000000" w:themeColor="text1"/>
          <w:spacing w:val="6"/>
          <w:sz w:val="26"/>
          <w:szCs w:val="26"/>
        </w:rPr>
        <w:t>i</w:t>
      </w:r>
      <w:r w:rsidRPr="00711C0C">
        <w:rPr>
          <w:color w:val="000000" w:themeColor="text1"/>
          <w:spacing w:val="6"/>
          <w:sz w:val="26"/>
          <w:szCs w:val="26"/>
        </w:rPr>
        <w:t>ciones destinadas a la sede social o centro de trabajo del gran tenedor.</w:t>
      </w:r>
    </w:p>
    <w:p w14:paraId="24D02EF6" w14:textId="1FD9E6ED" w:rsidR="00C854F8" w:rsidRPr="00A903FD" w:rsidRDefault="00C854F8" w:rsidP="00C854F8">
      <w:pPr>
        <w:numPr>
          <w:ilvl w:val="2"/>
          <w:numId w:val="15"/>
        </w:numPr>
        <w:tabs>
          <w:tab w:val="num" w:pos="2520"/>
        </w:tabs>
        <w:spacing w:line="280" w:lineRule="atLeast"/>
        <w:jc w:val="both"/>
        <w:rPr>
          <w:b/>
          <w:color w:val="000000"/>
          <w:spacing w:val="6"/>
          <w:sz w:val="22"/>
          <w:szCs w:val="22"/>
        </w:rPr>
      </w:pPr>
      <w:bookmarkStart w:id="58" w:name="tensionadas"/>
      <w:bookmarkEnd w:id="58"/>
      <w:r>
        <w:rPr>
          <w:b/>
          <w:color w:val="000000"/>
          <w:spacing w:val="6"/>
          <w:sz w:val="26"/>
          <w:szCs w:val="26"/>
        </w:rPr>
        <w:t>Zonas tensionadas</w:t>
      </w:r>
    </w:p>
    <w:p w14:paraId="27C33EF1" w14:textId="77777777" w:rsidR="00C854F8" w:rsidRDefault="00C854F8" w:rsidP="00C854F8">
      <w:pPr>
        <w:spacing w:line="280" w:lineRule="atLeast"/>
        <w:ind w:left="1440"/>
        <w:jc w:val="both"/>
        <w:rPr>
          <w:spacing w:val="6"/>
          <w:sz w:val="26"/>
          <w:szCs w:val="26"/>
        </w:rPr>
      </w:pPr>
      <w:r>
        <w:rPr>
          <w:spacing w:val="6"/>
          <w:sz w:val="26"/>
          <w:szCs w:val="26"/>
        </w:rPr>
        <w:t>En Asturias se han declarado las siguientes zonas tensionadas:</w:t>
      </w:r>
    </w:p>
    <w:bookmarkStart w:id="59" w:name="_Hlk231889407"/>
    <w:p w14:paraId="08527CA6" w14:textId="47A14E7D" w:rsidR="00C854F8" w:rsidRPr="00C854F8" w:rsidRDefault="00C854F8" w:rsidP="00C854F8">
      <w:pPr>
        <w:pStyle w:val="Prrafodelista"/>
        <w:numPr>
          <w:ilvl w:val="0"/>
          <w:numId w:val="42"/>
        </w:numPr>
        <w:spacing w:line="280" w:lineRule="atLeast"/>
        <w:jc w:val="both"/>
        <w:rPr>
          <w:spacing w:val="6"/>
          <w:sz w:val="26"/>
          <w:szCs w:val="26"/>
        </w:rPr>
      </w:pPr>
      <w:r>
        <w:fldChar w:fldCharType="begin"/>
      </w:r>
      <w:r>
        <w:instrText>HYPERLINK "https://miprincipado.asturias.es/ast/bopa/disposiciones?p_p_id=pa_sede_bopa_web_portlet_SedeBopaDispositionWeb&amp;p_p_lifecycle=0&amp;_pa_sede_bopa_web_portlet_SedeBopaDispositionWeb_mvcRenderCommandName=%2Fdisposition%2Fdetail&amp;p_r_p_dispositionText=2026-04016&amp;p_r_p_dispositionReference=2026-04016&amp;p_r_p_dispositionDate=21%2F05%2F2026"</w:instrText>
      </w:r>
      <w:r>
        <w:fldChar w:fldCharType="separate"/>
      </w:r>
      <w:r w:rsidRPr="00C854F8">
        <w:rPr>
          <w:rStyle w:val="Hipervnculo"/>
          <w:spacing w:val="6"/>
          <w:sz w:val="26"/>
          <w:szCs w:val="26"/>
        </w:rPr>
        <w:t>Resolución de 11 de mayo de 2026, de la Consejería de Ordenación de Territorio, Urbanismo, Vivienda y Derechos Ciudadanos</w:t>
      </w:r>
      <w:r>
        <w:fldChar w:fldCharType="end"/>
      </w:r>
      <w:r w:rsidRPr="00C854F8">
        <w:rPr>
          <w:spacing w:val="6"/>
          <w:sz w:val="26"/>
          <w:szCs w:val="26"/>
        </w:rPr>
        <w:t xml:space="preserve"> (BOJA 21/05/2026, en vigor desde el 22/05/2026):</w:t>
      </w:r>
    </w:p>
    <w:p w14:paraId="5F848F4B" w14:textId="7712D1DB" w:rsidR="00C854F8" w:rsidRDefault="00C854F8" w:rsidP="00C854F8">
      <w:pPr>
        <w:spacing w:line="280" w:lineRule="atLeast"/>
        <w:ind w:left="1800"/>
        <w:jc w:val="both"/>
        <w:rPr>
          <w:spacing w:val="6"/>
          <w:sz w:val="26"/>
          <w:szCs w:val="26"/>
        </w:rPr>
      </w:pPr>
      <w:r>
        <w:rPr>
          <w:spacing w:val="6"/>
          <w:sz w:val="26"/>
          <w:szCs w:val="26"/>
        </w:rPr>
        <w:t>- Núcleo urbano de Llanes, concejo de Llanes.</w:t>
      </w:r>
    </w:p>
    <w:p w14:paraId="7B7A29C7" w14:textId="14E2FEE3" w:rsidR="00C854F8" w:rsidRDefault="00C854F8" w:rsidP="00C854F8">
      <w:pPr>
        <w:spacing w:line="280" w:lineRule="atLeast"/>
        <w:ind w:left="1800"/>
        <w:jc w:val="both"/>
        <w:rPr>
          <w:spacing w:val="6"/>
          <w:sz w:val="26"/>
          <w:szCs w:val="26"/>
        </w:rPr>
      </w:pPr>
      <w:r>
        <w:rPr>
          <w:spacing w:val="6"/>
          <w:sz w:val="26"/>
          <w:szCs w:val="26"/>
        </w:rPr>
        <w:lastRenderedPageBreak/>
        <w:t>- Núcleo de Posada de Llanes, concejo de Llanes.</w:t>
      </w:r>
    </w:p>
    <w:p w14:paraId="18A1A8F6" w14:textId="6BAD8EB5" w:rsidR="00C854F8" w:rsidRDefault="00C854F8" w:rsidP="00C854F8">
      <w:pPr>
        <w:spacing w:line="280" w:lineRule="atLeast"/>
        <w:ind w:left="1800"/>
        <w:jc w:val="both"/>
        <w:rPr>
          <w:spacing w:val="6"/>
          <w:sz w:val="26"/>
          <w:szCs w:val="26"/>
        </w:rPr>
      </w:pPr>
      <w:r>
        <w:rPr>
          <w:spacing w:val="6"/>
          <w:sz w:val="26"/>
          <w:szCs w:val="26"/>
        </w:rPr>
        <w:t>- Núcleo de Arenas, concejo de Cabrales.</w:t>
      </w:r>
    </w:p>
    <w:p w14:paraId="0CDBADFA" w14:textId="09A20A8C" w:rsidR="00C854F8" w:rsidRDefault="00C854F8" w:rsidP="00C854F8">
      <w:pPr>
        <w:spacing w:line="280" w:lineRule="atLeast"/>
        <w:ind w:left="1800"/>
        <w:jc w:val="both"/>
        <w:rPr>
          <w:spacing w:val="6"/>
          <w:sz w:val="26"/>
          <w:szCs w:val="26"/>
        </w:rPr>
      </w:pPr>
      <w:r>
        <w:rPr>
          <w:spacing w:val="6"/>
          <w:sz w:val="26"/>
          <w:szCs w:val="26"/>
        </w:rPr>
        <w:t>- Núcleo de Poo, concejo de Cabrales.</w:t>
      </w:r>
    </w:p>
    <w:bookmarkEnd w:id="59"/>
    <w:p w14:paraId="62AE03AB" w14:textId="7AB9572F" w:rsidR="00C854F8" w:rsidRPr="00C854F8" w:rsidRDefault="00C854F8" w:rsidP="00C854F8">
      <w:pPr>
        <w:pStyle w:val="Prrafodelista"/>
        <w:numPr>
          <w:ilvl w:val="0"/>
          <w:numId w:val="42"/>
        </w:numPr>
        <w:spacing w:line="280" w:lineRule="atLeast"/>
        <w:jc w:val="both"/>
        <w:rPr>
          <w:spacing w:val="6"/>
          <w:sz w:val="26"/>
          <w:szCs w:val="26"/>
        </w:rPr>
      </w:pPr>
      <w:r>
        <w:fldChar w:fldCharType="begin"/>
      </w:r>
      <w:r>
        <w:instrText>HYPERLINK "https://miprincipado.asturias.es/ast/bopa/disposiciones?p_p_id=pa_sede_bopa_web_portlet_SedeBopaDispositionWeb&amp;p_p_lifecycle=0&amp;_pa_sede_bopa_web_portlet_SedeBopaDispositionWeb_mvcRenderCommandName=%2Fdisposition%2Fdetail&amp;p_r_p_dispositionText=2026-04106&amp;p_r_p_dispositionReference=2026-04106&amp;p_r_p_dispositionDate=21%2F05%2F2026"</w:instrText>
      </w:r>
      <w:r>
        <w:fldChar w:fldCharType="separate"/>
      </w:r>
      <w:r w:rsidRPr="00C854F8">
        <w:rPr>
          <w:rStyle w:val="Hipervnculo"/>
          <w:spacing w:val="6"/>
          <w:sz w:val="26"/>
          <w:szCs w:val="26"/>
        </w:rPr>
        <w:t>Resolución de 14 de mayo de 2026, de la Consejería de Ordenación de Territorio, Urbanismo, Vivienda y Derechos Ciudadanos</w:t>
      </w:r>
      <w:r>
        <w:fldChar w:fldCharType="end"/>
      </w:r>
      <w:r w:rsidRPr="00C854F8">
        <w:rPr>
          <w:spacing w:val="6"/>
          <w:sz w:val="26"/>
          <w:szCs w:val="26"/>
        </w:rPr>
        <w:t xml:space="preserve"> (BOJA 21/05/2026, en vigor desde el 22/05/2026 con una duración de 3 años):</w:t>
      </w:r>
    </w:p>
    <w:p w14:paraId="48CFABA2" w14:textId="6FB8749C" w:rsidR="00C854F8" w:rsidRDefault="00C854F8" w:rsidP="00C854F8">
      <w:pPr>
        <w:spacing w:line="280" w:lineRule="atLeast"/>
        <w:ind w:left="1800"/>
        <w:jc w:val="both"/>
        <w:rPr>
          <w:spacing w:val="6"/>
          <w:sz w:val="26"/>
          <w:szCs w:val="26"/>
        </w:rPr>
      </w:pPr>
      <w:r>
        <w:rPr>
          <w:spacing w:val="6"/>
          <w:sz w:val="26"/>
          <w:szCs w:val="26"/>
        </w:rPr>
        <w:t>- Barrio de La Arena, concejo de Gijón.</w:t>
      </w:r>
    </w:p>
    <w:p w14:paraId="61F850FF" w14:textId="4AE6678B" w:rsidR="00C854F8" w:rsidRDefault="00C854F8" w:rsidP="00C854F8">
      <w:pPr>
        <w:spacing w:line="280" w:lineRule="atLeast"/>
        <w:ind w:left="1800"/>
        <w:jc w:val="both"/>
        <w:rPr>
          <w:spacing w:val="6"/>
          <w:sz w:val="26"/>
          <w:szCs w:val="26"/>
        </w:rPr>
      </w:pPr>
      <w:r>
        <w:rPr>
          <w:spacing w:val="6"/>
          <w:sz w:val="26"/>
          <w:szCs w:val="26"/>
        </w:rPr>
        <w:t>- Barrio de Cimadevilla, concejo de Gijón.</w:t>
      </w:r>
    </w:p>
    <w:p w14:paraId="0E483D1A" w14:textId="33447CC3" w:rsidR="00C854F8" w:rsidRPr="00C854F8" w:rsidRDefault="00C854F8" w:rsidP="00C854F8">
      <w:pPr>
        <w:pStyle w:val="Prrafodelista"/>
        <w:numPr>
          <w:ilvl w:val="0"/>
          <w:numId w:val="42"/>
        </w:numPr>
        <w:spacing w:line="280" w:lineRule="atLeast"/>
        <w:jc w:val="both"/>
        <w:rPr>
          <w:spacing w:val="6"/>
          <w:sz w:val="26"/>
          <w:szCs w:val="26"/>
        </w:rPr>
      </w:pPr>
      <w:hyperlink r:id="rId133" w:history="1">
        <w:r w:rsidRPr="00C854F8">
          <w:rPr>
            <w:rStyle w:val="Hipervnculo"/>
            <w:spacing w:val="6"/>
            <w:sz w:val="26"/>
            <w:szCs w:val="26"/>
          </w:rPr>
          <w:t>Resolución de 15 de mayo de 2026, de la Consejería de Ordenación de Territorio, Urbanismo, Vivienda y Derechos Ciudadanos</w:t>
        </w:r>
      </w:hyperlink>
      <w:r w:rsidRPr="00C854F8">
        <w:rPr>
          <w:spacing w:val="6"/>
          <w:sz w:val="26"/>
          <w:szCs w:val="26"/>
        </w:rPr>
        <w:t xml:space="preserve"> (BOJA 21/05/2026, en vigor desde el 22/05/2026 con una duración de 3 años):</w:t>
      </w:r>
    </w:p>
    <w:p w14:paraId="045CC898" w14:textId="25ECA9E6" w:rsidR="00C854F8" w:rsidRDefault="00C854F8" w:rsidP="00C854F8">
      <w:pPr>
        <w:spacing w:line="280" w:lineRule="atLeast"/>
        <w:ind w:left="1800"/>
        <w:jc w:val="both"/>
        <w:rPr>
          <w:spacing w:val="6"/>
          <w:sz w:val="26"/>
          <w:szCs w:val="26"/>
        </w:rPr>
      </w:pPr>
      <w:r>
        <w:rPr>
          <w:spacing w:val="6"/>
          <w:sz w:val="26"/>
          <w:szCs w:val="26"/>
        </w:rPr>
        <w:t>- Barrio de La Magdalena, concejo de Avilés.</w:t>
      </w:r>
    </w:p>
    <w:p w14:paraId="7C8D1293" w14:textId="01FEC214" w:rsidR="003A78F8" w:rsidRPr="00C854F8" w:rsidRDefault="003A78F8" w:rsidP="003A78F8">
      <w:pPr>
        <w:pStyle w:val="Prrafodelista"/>
        <w:numPr>
          <w:ilvl w:val="0"/>
          <w:numId w:val="42"/>
        </w:numPr>
        <w:spacing w:line="280" w:lineRule="atLeast"/>
        <w:jc w:val="both"/>
        <w:rPr>
          <w:spacing w:val="6"/>
          <w:sz w:val="26"/>
          <w:szCs w:val="26"/>
        </w:rPr>
      </w:pPr>
      <w:hyperlink r:id="rId134" w:history="1">
        <w:r w:rsidRPr="003A78F8">
          <w:rPr>
            <w:rStyle w:val="Hipervnculo"/>
            <w:spacing w:val="6"/>
            <w:sz w:val="26"/>
            <w:szCs w:val="26"/>
          </w:rPr>
          <w:t>Resolución de 21 de mayo de 2026, de la Consejería de Ordenación de Territorio, Urbanismo, Vivienda y Derechos Ciudadanos</w:t>
        </w:r>
      </w:hyperlink>
      <w:r w:rsidRPr="00C854F8">
        <w:rPr>
          <w:spacing w:val="6"/>
          <w:sz w:val="26"/>
          <w:szCs w:val="26"/>
        </w:rPr>
        <w:t xml:space="preserve"> (BOJA 2</w:t>
      </w:r>
      <w:r>
        <w:rPr>
          <w:spacing w:val="6"/>
          <w:sz w:val="26"/>
          <w:szCs w:val="26"/>
        </w:rPr>
        <w:t>7</w:t>
      </w:r>
      <w:r w:rsidRPr="00C854F8">
        <w:rPr>
          <w:spacing w:val="6"/>
          <w:sz w:val="26"/>
          <w:szCs w:val="26"/>
        </w:rPr>
        <w:t>/05/2026, en vigor desde el 2</w:t>
      </w:r>
      <w:r w:rsidR="006C07F2">
        <w:rPr>
          <w:spacing w:val="6"/>
          <w:sz w:val="26"/>
          <w:szCs w:val="26"/>
        </w:rPr>
        <w:t>8</w:t>
      </w:r>
      <w:r w:rsidRPr="00C854F8">
        <w:rPr>
          <w:spacing w:val="6"/>
          <w:sz w:val="26"/>
          <w:szCs w:val="26"/>
        </w:rPr>
        <w:t>/05/2026 con una duración de 3 años):</w:t>
      </w:r>
    </w:p>
    <w:p w14:paraId="031ED6C8" w14:textId="55FC8EC5" w:rsidR="003A78F8" w:rsidRDefault="003A78F8" w:rsidP="00C854F8">
      <w:pPr>
        <w:spacing w:line="280" w:lineRule="atLeast"/>
        <w:ind w:left="1800"/>
        <w:jc w:val="both"/>
        <w:rPr>
          <w:spacing w:val="6"/>
          <w:sz w:val="26"/>
          <w:szCs w:val="26"/>
        </w:rPr>
      </w:pPr>
      <w:r>
        <w:rPr>
          <w:spacing w:val="6"/>
          <w:sz w:val="26"/>
          <w:szCs w:val="26"/>
        </w:rPr>
        <w:t xml:space="preserve">- </w:t>
      </w:r>
      <w:r w:rsidRPr="003A78F8">
        <w:rPr>
          <w:spacing w:val="6"/>
          <w:sz w:val="26"/>
          <w:szCs w:val="26"/>
        </w:rPr>
        <w:t xml:space="preserve">Luanco (incluyendo el ámbito de </w:t>
      </w:r>
      <w:proofErr w:type="spellStart"/>
      <w:r w:rsidRPr="003A78F8">
        <w:rPr>
          <w:spacing w:val="6"/>
          <w:sz w:val="26"/>
          <w:szCs w:val="26"/>
        </w:rPr>
        <w:t>Peroño</w:t>
      </w:r>
      <w:proofErr w:type="spellEnd"/>
      <w:r w:rsidRPr="003A78F8">
        <w:rPr>
          <w:spacing w:val="6"/>
          <w:sz w:val="26"/>
          <w:szCs w:val="26"/>
        </w:rPr>
        <w:t>), concejo de Gozón</w:t>
      </w:r>
      <w:r>
        <w:rPr>
          <w:spacing w:val="6"/>
          <w:sz w:val="26"/>
          <w:szCs w:val="26"/>
        </w:rPr>
        <w:t>.</w:t>
      </w:r>
    </w:p>
    <w:p w14:paraId="4A1F1297" w14:textId="4B3C4517" w:rsidR="00BD2C7C" w:rsidRPr="00C854F8" w:rsidRDefault="00BD2C7C" w:rsidP="00BD2C7C">
      <w:pPr>
        <w:pStyle w:val="Prrafodelista"/>
        <w:numPr>
          <w:ilvl w:val="0"/>
          <w:numId w:val="42"/>
        </w:numPr>
        <w:spacing w:line="280" w:lineRule="atLeast"/>
        <w:jc w:val="both"/>
        <w:rPr>
          <w:spacing w:val="6"/>
          <w:sz w:val="26"/>
          <w:szCs w:val="26"/>
        </w:rPr>
      </w:pPr>
      <w:hyperlink r:id="rId135" w:history="1">
        <w:r w:rsidRPr="00BD2C7C">
          <w:rPr>
            <w:rStyle w:val="Hipervnculo"/>
            <w:spacing w:val="6"/>
            <w:sz w:val="26"/>
            <w:szCs w:val="26"/>
          </w:rPr>
          <w:t>Resolución de 1 de junio de 2026, de la Consejería de Ordenación de Territorio, Urbanismo, Vivienda y Derechos Ciudadanos</w:t>
        </w:r>
      </w:hyperlink>
      <w:r w:rsidRPr="00C854F8">
        <w:rPr>
          <w:spacing w:val="6"/>
          <w:sz w:val="26"/>
          <w:szCs w:val="26"/>
        </w:rPr>
        <w:t xml:space="preserve"> (BOJA </w:t>
      </w:r>
      <w:r>
        <w:rPr>
          <w:spacing w:val="6"/>
          <w:sz w:val="26"/>
          <w:szCs w:val="26"/>
        </w:rPr>
        <w:t>09</w:t>
      </w:r>
      <w:r w:rsidRPr="00C854F8">
        <w:rPr>
          <w:spacing w:val="6"/>
          <w:sz w:val="26"/>
          <w:szCs w:val="26"/>
        </w:rPr>
        <w:t>/0</w:t>
      </w:r>
      <w:r>
        <w:rPr>
          <w:spacing w:val="6"/>
          <w:sz w:val="26"/>
          <w:szCs w:val="26"/>
        </w:rPr>
        <w:t>6</w:t>
      </w:r>
      <w:r w:rsidRPr="00C854F8">
        <w:rPr>
          <w:spacing w:val="6"/>
          <w:sz w:val="26"/>
          <w:szCs w:val="26"/>
        </w:rPr>
        <w:t xml:space="preserve">/2026, en vigor desde el </w:t>
      </w:r>
      <w:r>
        <w:rPr>
          <w:spacing w:val="6"/>
          <w:sz w:val="26"/>
          <w:szCs w:val="26"/>
        </w:rPr>
        <w:t>10</w:t>
      </w:r>
      <w:r w:rsidRPr="00C854F8">
        <w:rPr>
          <w:spacing w:val="6"/>
          <w:sz w:val="26"/>
          <w:szCs w:val="26"/>
        </w:rPr>
        <w:t>/0</w:t>
      </w:r>
      <w:r>
        <w:rPr>
          <w:spacing w:val="6"/>
          <w:sz w:val="26"/>
          <w:szCs w:val="26"/>
        </w:rPr>
        <w:t>6</w:t>
      </w:r>
      <w:r w:rsidRPr="00C854F8">
        <w:rPr>
          <w:spacing w:val="6"/>
          <w:sz w:val="26"/>
          <w:szCs w:val="26"/>
        </w:rPr>
        <w:t>/2026</w:t>
      </w:r>
      <w:r>
        <w:rPr>
          <w:spacing w:val="6"/>
          <w:sz w:val="26"/>
          <w:szCs w:val="26"/>
        </w:rPr>
        <w:t xml:space="preserve"> con una duración de 3 años</w:t>
      </w:r>
      <w:r w:rsidRPr="00C854F8">
        <w:rPr>
          <w:spacing w:val="6"/>
          <w:sz w:val="26"/>
          <w:szCs w:val="26"/>
        </w:rPr>
        <w:t>):</w:t>
      </w:r>
    </w:p>
    <w:p w14:paraId="2518F7E2" w14:textId="6AA75DF4" w:rsidR="00BD2C7C" w:rsidRDefault="00BD2C7C" w:rsidP="00BD2C7C">
      <w:pPr>
        <w:spacing w:line="280" w:lineRule="atLeast"/>
        <w:ind w:left="1800"/>
        <w:jc w:val="both"/>
        <w:rPr>
          <w:spacing w:val="6"/>
          <w:sz w:val="26"/>
          <w:szCs w:val="26"/>
        </w:rPr>
      </w:pPr>
      <w:r>
        <w:rPr>
          <w:spacing w:val="6"/>
          <w:sz w:val="26"/>
          <w:szCs w:val="26"/>
        </w:rPr>
        <w:t xml:space="preserve">- Núcleo </w:t>
      </w:r>
      <w:r w:rsidR="00242D24">
        <w:rPr>
          <w:spacing w:val="6"/>
          <w:sz w:val="26"/>
          <w:szCs w:val="26"/>
        </w:rPr>
        <w:t>de Nueva</w:t>
      </w:r>
      <w:r>
        <w:rPr>
          <w:spacing w:val="6"/>
          <w:sz w:val="26"/>
          <w:szCs w:val="26"/>
        </w:rPr>
        <w:t>, concejo de Llanes.</w:t>
      </w:r>
    </w:p>
    <w:p w14:paraId="49EA6873" w14:textId="6950C87B" w:rsidR="00BD2C7C" w:rsidRDefault="00BD2C7C" w:rsidP="00BD2C7C">
      <w:pPr>
        <w:spacing w:line="280" w:lineRule="atLeast"/>
        <w:ind w:left="1800"/>
        <w:jc w:val="both"/>
        <w:rPr>
          <w:spacing w:val="6"/>
          <w:sz w:val="26"/>
          <w:szCs w:val="26"/>
        </w:rPr>
      </w:pPr>
      <w:r>
        <w:rPr>
          <w:spacing w:val="6"/>
          <w:sz w:val="26"/>
          <w:szCs w:val="26"/>
        </w:rPr>
        <w:t xml:space="preserve">- Núcleo de </w:t>
      </w:r>
      <w:r w:rsidR="00242D24">
        <w:rPr>
          <w:spacing w:val="6"/>
          <w:sz w:val="26"/>
          <w:szCs w:val="26"/>
        </w:rPr>
        <w:t>Poo</w:t>
      </w:r>
      <w:r>
        <w:rPr>
          <w:spacing w:val="6"/>
          <w:sz w:val="26"/>
          <w:szCs w:val="26"/>
        </w:rPr>
        <w:t>, concejo de Llanes.</w:t>
      </w:r>
    </w:p>
    <w:p w14:paraId="40B5EB54" w14:textId="1CCE6CCF" w:rsidR="00BD2C7C" w:rsidRDefault="00BD2C7C" w:rsidP="00BD2C7C">
      <w:pPr>
        <w:spacing w:line="280" w:lineRule="atLeast"/>
        <w:ind w:left="1800"/>
        <w:jc w:val="both"/>
        <w:rPr>
          <w:spacing w:val="6"/>
          <w:sz w:val="26"/>
          <w:szCs w:val="26"/>
        </w:rPr>
      </w:pPr>
      <w:r>
        <w:rPr>
          <w:spacing w:val="6"/>
          <w:sz w:val="26"/>
          <w:szCs w:val="26"/>
        </w:rPr>
        <w:t xml:space="preserve">- Núcleo de </w:t>
      </w:r>
      <w:r w:rsidR="00242D24">
        <w:rPr>
          <w:spacing w:val="6"/>
          <w:sz w:val="26"/>
          <w:szCs w:val="26"/>
        </w:rPr>
        <w:t>Barro</w:t>
      </w:r>
      <w:r>
        <w:rPr>
          <w:spacing w:val="6"/>
          <w:sz w:val="26"/>
          <w:szCs w:val="26"/>
        </w:rPr>
        <w:t xml:space="preserve">, concejo de </w:t>
      </w:r>
      <w:r w:rsidR="00242D24">
        <w:rPr>
          <w:spacing w:val="6"/>
          <w:sz w:val="26"/>
          <w:szCs w:val="26"/>
        </w:rPr>
        <w:t>Llanes</w:t>
      </w:r>
      <w:r>
        <w:rPr>
          <w:spacing w:val="6"/>
          <w:sz w:val="26"/>
          <w:szCs w:val="26"/>
        </w:rPr>
        <w:t>.</w:t>
      </w:r>
    </w:p>
    <w:p w14:paraId="1E11D068" w14:textId="02B68585" w:rsidR="00BD2C7C" w:rsidRDefault="00BD2C7C" w:rsidP="00BD2C7C">
      <w:pPr>
        <w:spacing w:line="280" w:lineRule="atLeast"/>
        <w:ind w:left="1800"/>
        <w:jc w:val="both"/>
        <w:rPr>
          <w:spacing w:val="6"/>
          <w:sz w:val="26"/>
          <w:szCs w:val="26"/>
        </w:rPr>
      </w:pPr>
      <w:r>
        <w:rPr>
          <w:spacing w:val="6"/>
          <w:sz w:val="26"/>
          <w:szCs w:val="26"/>
        </w:rPr>
        <w:t xml:space="preserve">- Núcleo de </w:t>
      </w:r>
      <w:r w:rsidR="00242D24">
        <w:rPr>
          <w:spacing w:val="6"/>
          <w:sz w:val="26"/>
          <w:szCs w:val="26"/>
        </w:rPr>
        <w:t>Celorio</w:t>
      </w:r>
      <w:r>
        <w:rPr>
          <w:spacing w:val="6"/>
          <w:sz w:val="26"/>
          <w:szCs w:val="26"/>
        </w:rPr>
        <w:t xml:space="preserve">, concejo de </w:t>
      </w:r>
      <w:r w:rsidR="00242D24">
        <w:rPr>
          <w:spacing w:val="6"/>
          <w:sz w:val="26"/>
          <w:szCs w:val="26"/>
        </w:rPr>
        <w:t>Llanes</w:t>
      </w:r>
      <w:r>
        <w:rPr>
          <w:spacing w:val="6"/>
          <w:sz w:val="26"/>
          <w:szCs w:val="26"/>
        </w:rPr>
        <w:t>.</w:t>
      </w:r>
    </w:p>
    <w:p w14:paraId="520790E0" w14:textId="3C616932" w:rsidR="00C46EC3" w:rsidRDefault="00C46EC3" w:rsidP="00C46EC3">
      <w:pPr>
        <w:spacing w:line="280" w:lineRule="atLeast"/>
        <w:ind w:left="1440"/>
        <w:jc w:val="both"/>
        <w:rPr>
          <w:spacing w:val="6"/>
          <w:sz w:val="26"/>
          <w:szCs w:val="26"/>
          <w:lang w:val="es-ES"/>
        </w:rPr>
      </w:pPr>
      <w:r>
        <w:rPr>
          <w:spacing w:val="6"/>
          <w:sz w:val="26"/>
          <w:szCs w:val="26"/>
        </w:rPr>
        <w:t xml:space="preserve">Además, a efectos de arrendamientos, la </w:t>
      </w:r>
      <w:hyperlink r:id="rId136" w:history="1">
        <w:r w:rsidRPr="00B36827">
          <w:rPr>
            <w:rStyle w:val="Hipervnculo"/>
            <w:spacing w:val="6"/>
            <w:sz w:val="26"/>
            <w:szCs w:val="26"/>
            <w:lang w:val="es-ES"/>
          </w:rPr>
          <w:t>Resolución de la Secretaría de Estado de Vivienda y Agenda Urbana de 24 de julio de 2026</w:t>
        </w:r>
      </w:hyperlink>
      <w:r>
        <w:rPr>
          <w:spacing w:val="6"/>
          <w:sz w:val="26"/>
          <w:szCs w:val="26"/>
          <w:lang w:val="es-ES"/>
        </w:rPr>
        <w:t xml:space="preserve"> (BOE 29/07/2026)</w:t>
      </w:r>
      <w:r w:rsidRPr="00B36827">
        <w:rPr>
          <w:spacing w:val="6"/>
          <w:sz w:val="26"/>
          <w:szCs w:val="26"/>
          <w:lang w:val="es-ES"/>
        </w:rPr>
        <w:t>, publica la relación de zonas de mercado residencial tensionado que han sido declaradas en virtud del procedimiento establecido en el artículo 18 de la Ley 12/2023, de 24 de mayo, por el derecho a la vivienda, en el segundo trimestre de 2026</w:t>
      </w:r>
      <w:r>
        <w:rPr>
          <w:spacing w:val="6"/>
          <w:sz w:val="26"/>
          <w:szCs w:val="26"/>
          <w:lang w:val="es-ES"/>
        </w:rPr>
        <w:t xml:space="preserve">, lo que incluye a las asturianas. Existe una guía al respecto en </w:t>
      </w:r>
      <w:hyperlink r:id="rId137" w:history="1">
        <w:r w:rsidRPr="003B4EF3">
          <w:rPr>
            <w:rStyle w:val="Hipervnculo"/>
            <w:spacing w:val="6"/>
            <w:sz w:val="26"/>
            <w:szCs w:val="26"/>
            <w:lang w:val="es-ES"/>
          </w:rPr>
          <w:t>actualidad.asturias.es/-/guiatensionadas2508</w:t>
        </w:r>
      </w:hyperlink>
      <w:r>
        <w:rPr>
          <w:spacing w:val="6"/>
          <w:sz w:val="26"/>
          <w:szCs w:val="26"/>
          <w:lang w:val="es-ES"/>
        </w:rPr>
        <w:t>.</w:t>
      </w:r>
    </w:p>
    <w:p w14:paraId="15B62A05" w14:textId="77777777" w:rsidR="00DB3CC4" w:rsidRPr="00D12EE1" w:rsidRDefault="00DB3CC4" w:rsidP="00C854F8">
      <w:pPr>
        <w:numPr>
          <w:ilvl w:val="2"/>
          <w:numId w:val="15"/>
        </w:numPr>
        <w:tabs>
          <w:tab w:val="num" w:pos="2520"/>
        </w:tabs>
        <w:spacing w:line="280" w:lineRule="atLeast"/>
        <w:jc w:val="both"/>
        <w:rPr>
          <w:b/>
          <w:color w:val="000000"/>
          <w:spacing w:val="6"/>
          <w:sz w:val="22"/>
          <w:szCs w:val="22"/>
        </w:rPr>
      </w:pPr>
      <w:bookmarkStart w:id="60" w:name="Comentarios222"/>
      <w:bookmarkEnd w:id="57"/>
      <w:bookmarkEnd w:id="60"/>
      <w:r>
        <w:rPr>
          <w:b/>
          <w:color w:val="000000"/>
          <w:spacing w:val="6"/>
          <w:sz w:val="26"/>
          <w:szCs w:val="26"/>
        </w:rPr>
        <w:t>Comentarios</w:t>
      </w:r>
    </w:p>
    <w:p w14:paraId="0876C448" w14:textId="77777777" w:rsidR="00D12EE1" w:rsidRDefault="00D12EE1" w:rsidP="00D12EE1">
      <w:pPr>
        <w:spacing w:line="280" w:lineRule="atLeast"/>
        <w:ind w:left="1440"/>
        <w:jc w:val="both"/>
        <w:rPr>
          <w:spacing w:val="6"/>
          <w:sz w:val="26"/>
          <w:szCs w:val="26"/>
        </w:rPr>
      </w:pPr>
      <w:r>
        <w:rPr>
          <w:spacing w:val="6"/>
          <w:sz w:val="26"/>
          <w:szCs w:val="26"/>
        </w:rPr>
        <w:t>A reserva de lo que depare la interpretación administrativa y judicial, puede apuntarse:</w:t>
      </w:r>
    </w:p>
    <w:p w14:paraId="113CB08E" w14:textId="1B93E67B" w:rsidR="00DA2E99" w:rsidRDefault="00C741C8" w:rsidP="00DA2E99">
      <w:pPr>
        <w:numPr>
          <w:ilvl w:val="0"/>
          <w:numId w:val="41"/>
        </w:numPr>
        <w:spacing w:line="280" w:lineRule="atLeast"/>
        <w:jc w:val="both"/>
        <w:rPr>
          <w:spacing w:val="6"/>
          <w:sz w:val="26"/>
          <w:szCs w:val="26"/>
        </w:rPr>
      </w:pPr>
      <w:r>
        <w:rPr>
          <w:spacing w:val="6"/>
          <w:sz w:val="26"/>
          <w:szCs w:val="26"/>
        </w:rPr>
        <w:t>Se aplica a personas físicas o jurídicas.</w:t>
      </w:r>
      <w:r w:rsidR="00DA2E99">
        <w:rPr>
          <w:spacing w:val="6"/>
          <w:sz w:val="26"/>
          <w:szCs w:val="26"/>
        </w:rPr>
        <w:t xml:space="preserve"> Una alternativa es la adquisición por el socio que no tenga la condición de gran tenedor y posterior aportación a la sociedad que tenga la condición de gran tenedora.</w:t>
      </w:r>
    </w:p>
    <w:p w14:paraId="7FD8FDE4" w14:textId="77777777" w:rsidR="00B96BD0" w:rsidRDefault="00B96BD0" w:rsidP="00C854F8">
      <w:pPr>
        <w:numPr>
          <w:ilvl w:val="0"/>
          <w:numId w:val="41"/>
        </w:numPr>
        <w:spacing w:line="280" w:lineRule="atLeast"/>
        <w:jc w:val="both"/>
        <w:rPr>
          <w:spacing w:val="6"/>
          <w:sz w:val="26"/>
          <w:szCs w:val="26"/>
        </w:rPr>
      </w:pPr>
      <w:r>
        <w:rPr>
          <w:spacing w:val="6"/>
          <w:sz w:val="26"/>
          <w:szCs w:val="26"/>
        </w:rPr>
        <w:t>Se aplica a todas las adquisiciones onerosas sujetas a ITPO, no solo a compraventas</w:t>
      </w:r>
      <w:r w:rsidR="005474DE">
        <w:rPr>
          <w:spacing w:val="6"/>
          <w:sz w:val="26"/>
          <w:szCs w:val="26"/>
        </w:rPr>
        <w:t>; pero no se aplica a las sujetas a AJD.</w:t>
      </w:r>
    </w:p>
    <w:p w14:paraId="4291069E" w14:textId="77777777" w:rsidR="00D12EE1" w:rsidRDefault="00D12EE1" w:rsidP="00C854F8">
      <w:pPr>
        <w:numPr>
          <w:ilvl w:val="0"/>
          <w:numId w:val="41"/>
        </w:numPr>
        <w:spacing w:line="280" w:lineRule="atLeast"/>
        <w:jc w:val="both"/>
        <w:rPr>
          <w:spacing w:val="6"/>
          <w:sz w:val="26"/>
          <w:szCs w:val="26"/>
        </w:rPr>
      </w:pPr>
      <w:r>
        <w:rPr>
          <w:spacing w:val="6"/>
          <w:sz w:val="26"/>
          <w:szCs w:val="26"/>
        </w:rPr>
        <w:t>Se aplica a transmisiones de vivienda, no de locales ni solares.</w:t>
      </w:r>
    </w:p>
    <w:p w14:paraId="50B7BFBA" w14:textId="77777777" w:rsidR="00B96BD0" w:rsidRDefault="00B96BD0" w:rsidP="00C854F8">
      <w:pPr>
        <w:numPr>
          <w:ilvl w:val="0"/>
          <w:numId w:val="41"/>
        </w:numPr>
        <w:spacing w:line="280" w:lineRule="atLeast"/>
        <w:jc w:val="both"/>
        <w:rPr>
          <w:spacing w:val="6"/>
          <w:sz w:val="26"/>
          <w:szCs w:val="26"/>
        </w:rPr>
      </w:pPr>
      <w:r>
        <w:rPr>
          <w:spacing w:val="6"/>
          <w:sz w:val="26"/>
          <w:szCs w:val="26"/>
        </w:rPr>
        <w:lastRenderedPageBreak/>
        <w:t>No se exceptúa a los promotores inmobiliarios</w:t>
      </w:r>
      <w:r w:rsidR="009131D6">
        <w:rPr>
          <w:spacing w:val="6"/>
          <w:sz w:val="26"/>
          <w:szCs w:val="26"/>
        </w:rPr>
        <w:t xml:space="preserve"> normales</w:t>
      </w:r>
      <w:r>
        <w:rPr>
          <w:spacing w:val="6"/>
          <w:sz w:val="26"/>
          <w:szCs w:val="26"/>
        </w:rPr>
        <w:t>, aunque para los mismos las viviendas son stock destinado a su venta y no a su tenencia.</w:t>
      </w:r>
    </w:p>
    <w:p w14:paraId="0EE4CB77" w14:textId="77777777" w:rsidR="00600BF5" w:rsidRDefault="00600BF5" w:rsidP="00C854F8">
      <w:pPr>
        <w:numPr>
          <w:ilvl w:val="0"/>
          <w:numId w:val="41"/>
        </w:numPr>
        <w:spacing w:line="280" w:lineRule="atLeast"/>
        <w:jc w:val="both"/>
        <w:rPr>
          <w:spacing w:val="6"/>
          <w:sz w:val="26"/>
          <w:szCs w:val="26"/>
        </w:rPr>
      </w:pPr>
      <w:r>
        <w:rPr>
          <w:spacing w:val="6"/>
          <w:sz w:val="26"/>
          <w:szCs w:val="26"/>
        </w:rPr>
        <w:t>¿Cómo se acredita? Bastará la correspondiente declaración, sin perjuicio de la comprobación administrativa, en cuyo caso el principio de prueba lo constituye el Catastro y no el Registro de la Propiedad</w:t>
      </w:r>
      <w:r w:rsidR="009131D6">
        <w:rPr>
          <w:spacing w:val="6"/>
          <w:sz w:val="26"/>
          <w:szCs w:val="26"/>
        </w:rPr>
        <w:t xml:space="preserve"> por tratarse de materia fiscal</w:t>
      </w:r>
      <w:r>
        <w:rPr>
          <w:spacing w:val="6"/>
          <w:sz w:val="26"/>
          <w:szCs w:val="26"/>
        </w:rPr>
        <w:t>.</w:t>
      </w:r>
    </w:p>
    <w:p w14:paraId="1F5174C5" w14:textId="77777777" w:rsidR="009B3E69" w:rsidRDefault="009B3E69" w:rsidP="00C854F8">
      <w:pPr>
        <w:numPr>
          <w:ilvl w:val="0"/>
          <w:numId w:val="41"/>
        </w:numPr>
        <w:spacing w:line="280" w:lineRule="atLeast"/>
        <w:jc w:val="both"/>
        <w:rPr>
          <w:spacing w:val="6"/>
          <w:sz w:val="26"/>
          <w:szCs w:val="26"/>
        </w:rPr>
      </w:pPr>
      <w:r>
        <w:rPr>
          <w:spacing w:val="6"/>
          <w:sz w:val="26"/>
          <w:szCs w:val="26"/>
        </w:rPr>
        <w:t>Más de 10 viviendas quiere decir que se ha de ser titular de 11 viviendas (6 en zonas tensionadas).</w:t>
      </w:r>
    </w:p>
    <w:p w14:paraId="7A5E4A2D" w14:textId="0731F490" w:rsidR="005474DE" w:rsidRDefault="009B3E69" w:rsidP="00C854F8">
      <w:pPr>
        <w:numPr>
          <w:ilvl w:val="0"/>
          <w:numId w:val="41"/>
        </w:numPr>
        <w:spacing w:line="280" w:lineRule="atLeast"/>
        <w:jc w:val="both"/>
        <w:rPr>
          <w:spacing w:val="6"/>
          <w:sz w:val="26"/>
          <w:szCs w:val="26"/>
        </w:rPr>
      </w:pPr>
      <w:r>
        <w:rPr>
          <w:spacing w:val="6"/>
          <w:sz w:val="26"/>
          <w:szCs w:val="26"/>
        </w:rPr>
        <w:t>¿</w:t>
      </w:r>
      <w:r w:rsidR="005474DE">
        <w:rPr>
          <w:spacing w:val="6"/>
          <w:sz w:val="26"/>
          <w:szCs w:val="26"/>
        </w:rPr>
        <w:t>Computa</w:t>
      </w:r>
      <w:r>
        <w:rPr>
          <w:spacing w:val="6"/>
          <w:sz w:val="26"/>
          <w:szCs w:val="26"/>
        </w:rPr>
        <w:t>n</w:t>
      </w:r>
      <w:r w:rsidR="005474DE">
        <w:rPr>
          <w:spacing w:val="6"/>
          <w:sz w:val="26"/>
          <w:szCs w:val="26"/>
        </w:rPr>
        <w:t xml:space="preserve"> en la condición de gran tenedor la vivienda</w:t>
      </w:r>
      <w:r>
        <w:rPr>
          <w:spacing w:val="6"/>
          <w:sz w:val="26"/>
          <w:szCs w:val="26"/>
        </w:rPr>
        <w:t xml:space="preserve"> o viviendas</w:t>
      </w:r>
      <w:r w:rsidR="005474DE">
        <w:rPr>
          <w:spacing w:val="6"/>
          <w:sz w:val="26"/>
          <w:szCs w:val="26"/>
        </w:rPr>
        <w:t xml:space="preserve"> que se adquiere</w:t>
      </w:r>
      <w:r>
        <w:rPr>
          <w:spacing w:val="6"/>
          <w:sz w:val="26"/>
          <w:szCs w:val="26"/>
        </w:rPr>
        <w:t>n?</w:t>
      </w:r>
      <w:r w:rsidR="005474DE">
        <w:rPr>
          <w:spacing w:val="6"/>
          <w:sz w:val="26"/>
          <w:szCs w:val="26"/>
        </w:rPr>
        <w:t>.</w:t>
      </w:r>
      <w:r>
        <w:rPr>
          <w:spacing w:val="6"/>
          <w:sz w:val="26"/>
          <w:szCs w:val="26"/>
        </w:rPr>
        <w:t xml:space="preserve"> En Cataluña la condición de gran tenedor se mide en relación a la situación anterior a la adquisición de la vivienda o viviendas</w:t>
      </w:r>
      <w:r w:rsidR="00B14C57">
        <w:rPr>
          <w:spacing w:val="6"/>
          <w:sz w:val="26"/>
          <w:szCs w:val="26"/>
        </w:rPr>
        <w:t xml:space="preserve"> </w:t>
      </w:r>
      <w:r>
        <w:rPr>
          <w:spacing w:val="6"/>
          <w:sz w:val="26"/>
          <w:szCs w:val="26"/>
        </w:rPr>
        <w:t>que determinarían tal condición</w:t>
      </w:r>
      <w:r w:rsidR="00687058">
        <w:rPr>
          <w:spacing w:val="6"/>
          <w:sz w:val="26"/>
          <w:szCs w:val="26"/>
        </w:rPr>
        <w:t xml:space="preserve"> (gráficamente, cuando la persona </w:t>
      </w:r>
      <w:r w:rsidR="002F52A4" w:rsidRPr="001913D0">
        <w:rPr>
          <w:rFonts w:ascii="Times New Roman" w:hAnsi="Times New Roman"/>
          <w:bCs/>
          <w:sz w:val="24"/>
          <w:szCs w:val="28"/>
        </w:rPr>
        <w:t>«</w:t>
      </w:r>
      <w:r w:rsidR="00687058">
        <w:rPr>
          <w:spacing w:val="6"/>
          <w:sz w:val="26"/>
          <w:szCs w:val="26"/>
        </w:rPr>
        <w:t>entra</w:t>
      </w:r>
      <w:r w:rsidR="002F52A4" w:rsidRPr="001913D0">
        <w:rPr>
          <w:rFonts w:ascii="Times New Roman" w:hAnsi="Times New Roman"/>
          <w:bCs/>
          <w:sz w:val="24"/>
          <w:szCs w:val="28"/>
        </w:rPr>
        <w:t>»</w:t>
      </w:r>
      <w:r w:rsidR="00687058">
        <w:rPr>
          <w:spacing w:val="6"/>
          <w:sz w:val="26"/>
          <w:szCs w:val="26"/>
        </w:rPr>
        <w:t xml:space="preserve"> en la notaría, no cuando </w:t>
      </w:r>
      <w:bookmarkStart w:id="61" w:name="_Hlk230079223"/>
      <w:r w:rsidR="002F52A4" w:rsidRPr="001913D0">
        <w:rPr>
          <w:rFonts w:ascii="Times New Roman" w:hAnsi="Times New Roman"/>
          <w:bCs/>
          <w:sz w:val="24"/>
          <w:szCs w:val="28"/>
        </w:rPr>
        <w:t>«</w:t>
      </w:r>
      <w:bookmarkEnd w:id="61"/>
      <w:r w:rsidR="00687058">
        <w:rPr>
          <w:spacing w:val="6"/>
          <w:sz w:val="26"/>
          <w:szCs w:val="26"/>
        </w:rPr>
        <w:t>sale</w:t>
      </w:r>
      <w:r w:rsidR="002F52A4" w:rsidRPr="001913D0">
        <w:rPr>
          <w:rFonts w:ascii="Times New Roman" w:hAnsi="Times New Roman"/>
          <w:bCs/>
          <w:sz w:val="24"/>
          <w:szCs w:val="28"/>
        </w:rPr>
        <w:t>»</w:t>
      </w:r>
      <w:r w:rsidR="00687058">
        <w:rPr>
          <w:spacing w:val="6"/>
          <w:sz w:val="26"/>
          <w:szCs w:val="26"/>
        </w:rPr>
        <w:t>)</w:t>
      </w:r>
      <w:r>
        <w:rPr>
          <w:spacing w:val="6"/>
          <w:sz w:val="26"/>
          <w:szCs w:val="26"/>
        </w:rPr>
        <w:t>.</w:t>
      </w:r>
      <w:r w:rsidR="00687058">
        <w:rPr>
          <w:spacing w:val="6"/>
          <w:sz w:val="26"/>
          <w:szCs w:val="26"/>
        </w:rPr>
        <w:t xml:space="preserve"> Pero en Asturias el precepto añade la coletilla “</w:t>
      </w:r>
      <w:r w:rsidR="00687058" w:rsidRPr="00687058">
        <w:rPr>
          <w:i/>
          <w:iCs/>
          <w:spacing w:val="6"/>
          <w:sz w:val="26"/>
          <w:szCs w:val="26"/>
        </w:rPr>
        <w:t>... o que con la adquisición objeto de gravamen</w:t>
      </w:r>
      <w:r w:rsidRPr="00687058">
        <w:rPr>
          <w:i/>
          <w:iCs/>
          <w:spacing w:val="6"/>
          <w:sz w:val="26"/>
          <w:szCs w:val="26"/>
        </w:rPr>
        <w:t xml:space="preserve"> </w:t>
      </w:r>
      <w:r w:rsidR="00687058" w:rsidRPr="00687058">
        <w:rPr>
          <w:i/>
          <w:iCs/>
          <w:spacing w:val="6"/>
          <w:sz w:val="26"/>
          <w:szCs w:val="26"/>
        </w:rPr>
        <w:t>se conviertan...</w:t>
      </w:r>
      <w:r w:rsidR="00687058">
        <w:rPr>
          <w:spacing w:val="6"/>
          <w:sz w:val="26"/>
          <w:szCs w:val="26"/>
        </w:rPr>
        <w:t xml:space="preserve">”, por lo que computan las viviendas que se adquieren (gráficamente, cuando la persona </w:t>
      </w:r>
      <w:r w:rsidR="002F52A4" w:rsidRPr="001913D0">
        <w:rPr>
          <w:rFonts w:ascii="Times New Roman" w:hAnsi="Times New Roman"/>
          <w:bCs/>
          <w:sz w:val="24"/>
          <w:szCs w:val="28"/>
        </w:rPr>
        <w:t>«</w:t>
      </w:r>
      <w:r w:rsidR="00687058">
        <w:rPr>
          <w:spacing w:val="6"/>
          <w:sz w:val="26"/>
          <w:szCs w:val="26"/>
        </w:rPr>
        <w:t>está</w:t>
      </w:r>
      <w:r w:rsidR="002F52A4" w:rsidRPr="001913D0">
        <w:rPr>
          <w:rFonts w:ascii="Times New Roman" w:hAnsi="Times New Roman"/>
          <w:bCs/>
          <w:sz w:val="24"/>
          <w:szCs w:val="28"/>
        </w:rPr>
        <w:t>»</w:t>
      </w:r>
      <w:r w:rsidR="00687058">
        <w:rPr>
          <w:spacing w:val="6"/>
          <w:sz w:val="26"/>
          <w:szCs w:val="26"/>
        </w:rPr>
        <w:t xml:space="preserve"> en la notaría.</w:t>
      </w:r>
    </w:p>
    <w:p w14:paraId="0E509829" w14:textId="62B93C16" w:rsidR="0094180D" w:rsidRDefault="0094180D" w:rsidP="00C854F8">
      <w:pPr>
        <w:numPr>
          <w:ilvl w:val="0"/>
          <w:numId w:val="41"/>
        </w:numPr>
        <w:spacing w:line="280" w:lineRule="atLeast"/>
        <w:jc w:val="both"/>
        <w:rPr>
          <w:spacing w:val="6"/>
          <w:sz w:val="26"/>
          <w:szCs w:val="26"/>
        </w:rPr>
      </w:pPr>
      <w:r>
        <w:rPr>
          <w:spacing w:val="6"/>
          <w:sz w:val="26"/>
          <w:szCs w:val="26"/>
        </w:rPr>
        <w:t>¿Computan las viviendas sólo en Asturias o en toda España o tambi</w:t>
      </w:r>
      <w:r w:rsidR="00711C0C">
        <w:rPr>
          <w:spacing w:val="6"/>
          <w:sz w:val="26"/>
          <w:szCs w:val="26"/>
        </w:rPr>
        <w:t>é</w:t>
      </w:r>
      <w:r>
        <w:rPr>
          <w:spacing w:val="6"/>
          <w:sz w:val="26"/>
          <w:szCs w:val="26"/>
        </w:rPr>
        <w:t>n las del extranjero?</w:t>
      </w:r>
      <w:r w:rsidR="00687058">
        <w:rPr>
          <w:spacing w:val="6"/>
          <w:sz w:val="26"/>
          <w:szCs w:val="26"/>
        </w:rPr>
        <w:t xml:space="preserve"> En Cataluña, sólo las radicadas en territorio catalán.</w:t>
      </w:r>
    </w:p>
    <w:p w14:paraId="651240B2" w14:textId="152DF700" w:rsidR="00EF256A" w:rsidRDefault="00EF256A" w:rsidP="00C854F8">
      <w:pPr>
        <w:numPr>
          <w:ilvl w:val="0"/>
          <w:numId w:val="41"/>
        </w:numPr>
        <w:spacing w:line="280" w:lineRule="atLeast"/>
        <w:jc w:val="both"/>
        <w:rPr>
          <w:spacing w:val="6"/>
          <w:sz w:val="26"/>
          <w:szCs w:val="26"/>
        </w:rPr>
      </w:pPr>
      <w:r>
        <w:rPr>
          <w:spacing w:val="6"/>
          <w:sz w:val="26"/>
          <w:szCs w:val="26"/>
        </w:rPr>
        <w:t>¿Se excluye la vivienda habitual en el cómputo</w:t>
      </w:r>
      <w:r w:rsidR="00047637">
        <w:rPr>
          <w:spacing w:val="6"/>
          <w:sz w:val="26"/>
          <w:szCs w:val="26"/>
        </w:rPr>
        <w:t xml:space="preserve"> para la consideración de gran tenedor</w:t>
      </w:r>
      <w:r>
        <w:rPr>
          <w:spacing w:val="6"/>
          <w:sz w:val="26"/>
          <w:szCs w:val="26"/>
        </w:rPr>
        <w:t>?</w:t>
      </w:r>
      <w:r w:rsidR="00445BE5">
        <w:rPr>
          <w:spacing w:val="6"/>
          <w:sz w:val="26"/>
          <w:szCs w:val="26"/>
        </w:rPr>
        <w:t xml:space="preserve"> En Cataluña, </w:t>
      </w:r>
      <w:r w:rsidR="00E146E7">
        <w:rPr>
          <w:spacing w:val="6"/>
          <w:sz w:val="26"/>
          <w:szCs w:val="26"/>
        </w:rPr>
        <w:t>sí</w:t>
      </w:r>
      <w:r w:rsidR="00445BE5">
        <w:rPr>
          <w:spacing w:val="6"/>
          <w:sz w:val="26"/>
          <w:szCs w:val="26"/>
        </w:rPr>
        <w:t>.</w:t>
      </w:r>
    </w:p>
    <w:p w14:paraId="30EDC19D" w14:textId="77777777" w:rsidR="00E146E7" w:rsidRDefault="00E146E7" w:rsidP="00C854F8">
      <w:pPr>
        <w:numPr>
          <w:ilvl w:val="0"/>
          <w:numId w:val="41"/>
        </w:numPr>
        <w:spacing w:line="280" w:lineRule="atLeast"/>
        <w:jc w:val="both"/>
        <w:rPr>
          <w:spacing w:val="6"/>
          <w:sz w:val="26"/>
          <w:szCs w:val="26"/>
        </w:rPr>
      </w:pPr>
      <w:r>
        <w:rPr>
          <w:spacing w:val="6"/>
          <w:sz w:val="26"/>
          <w:szCs w:val="26"/>
        </w:rPr>
        <w:t>¿Se aplica a la adquisición de la vivienda habitual del gran tenedor? En Cataluña, no.</w:t>
      </w:r>
    </w:p>
    <w:p w14:paraId="0848D98A" w14:textId="0029E75E" w:rsidR="00EF256A" w:rsidRDefault="00EF256A" w:rsidP="00C854F8">
      <w:pPr>
        <w:numPr>
          <w:ilvl w:val="0"/>
          <w:numId w:val="41"/>
        </w:numPr>
        <w:spacing w:line="280" w:lineRule="atLeast"/>
        <w:jc w:val="both"/>
        <w:rPr>
          <w:spacing w:val="6"/>
          <w:sz w:val="26"/>
          <w:szCs w:val="26"/>
        </w:rPr>
      </w:pPr>
      <w:r>
        <w:rPr>
          <w:spacing w:val="6"/>
          <w:sz w:val="26"/>
          <w:szCs w:val="26"/>
        </w:rPr>
        <w:t>¿Cómo computan las participaciones indivisas?</w:t>
      </w:r>
      <w:r w:rsidR="00B76BA0">
        <w:rPr>
          <w:spacing w:val="6"/>
          <w:sz w:val="26"/>
          <w:szCs w:val="26"/>
        </w:rPr>
        <w:t xml:space="preserve"> En Cataluña la cuota indivisa se computa proporcionalmente.</w:t>
      </w:r>
    </w:p>
    <w:p w14:paraId="6DCE33AF" w14:textId="5AEE916E" w:rsidR="00047637" w:rsidRDefault="00047637" w:rsidP="00C854F8">
      <w:pPr>
        <w:numPr>
          <w:ilvl w:val="0"/>
          <w:numId w:val="41"/>
        </w:numPr>
        <w:spacing w:line="280" w:lineRule="atLeast"/>
        <w:jc w:val="both"/>
        <w:rPr>
          <w:spacing w:val="6"/>
          <w:sz w:val="26"/>
          <w:szCs w:val="26"/>
        </w:rPr>
      </w:pPr>
      <w:r>
        <w:rPr>
          <w:spacing w:val="6"/>
          <w:sz w:val="26"/>
          <w:szCs w:val="26"/>
        </w:rPr>
        <w:t>¿Cómo computan el usufructo y la nuda propiedad?</w:t>
      </w:r>
      <w:r w:rsidR="00CD76F9">
        <w:rPr>
          <w:spacing w:val="6"/>
          <w:sz w:val="26"/>
          <w:szCs w:val="26"/>
        </w:rPr>
        <w:t xml:space="preserve"> En </w:t>
      </w:r>
      <w:proofErr w:type="spellStart"/>
      <w:r w:rsidR="00CD76F9">
        <w:rPr>
          <w:spacing w:val="6"/>
          <w:sz w:val="26"/>
          <w:szCs w:val="26"/>
        </w:rPr>
        <w:t>cataluña</w:t>
      </w:r>
      <w:proofErr w:type="spellEnd"/>
      <w:r w:rsidR="00CD76F9">
        <w:rPr>
          <w:spacing w:val="6"/>
          <w:sz w:val="26"/>
          <w:szCs w:val="26"/>
        </w:rPr>
        <w:t xml:space="preserve"> se </w:t>
      </w:r>
      <w:proofErr w:type="spellStart"/>
      <w:r w:rsidR="00CD76F9">
        <w:rPr>
          <w:spacing w:val="6"/>
          <w:sz w:val="26"/>
          <w:szCs w:val="26"/>
        </w:rPr>
        <w:t>exluye</w:t>
      </w:r>
      <w:proofErr w:type="spellEnd"/>
      <w:r w:rsidR="00CD76F9">
        <w:rPr>
          <w:spacing w:val="6"/>
          <w:sz w:val="26"/>
          <w:szCs w:val="26"/>
        </w:rPr>
        <w:t xml:space="preserve"> al usufructuario y se incluye al nudo propietario (pero su norma habla de </w:t>
      </w:r>
      <w:r w:rsidR="002F52A4" w:rsidRPr="001913D0">
        <w:rPr>
          <w:rFonts w:ascii="Times New Roman" w:hAnsi="Times New Roman"/>
          <w:bCs/>
          <w:sz w:val="24"/>
          <w:szCs w:val="28"/>
        </w:rPr>
        <w:t>«</w:t>
      </w:r>
      <w:r w:rsidR="00CD76F9">
        <w:rPr>
          <w:spacing w:val="6"/>
          <w:sz w:val="26"/>
          <w:szCs w:val="26"/>
        </w:rPr>
        <w:t>propietario</w:t>
      </w:r>
      <w:r w:rsidR="002F52A4" w:rsidRPr="001913D0">
        <w:rPr>
          <w:rFonts w:ascii="Times New Roman" w:hAnsi="Times New Roman"/>
          <w:bCs/>
          <w:sz w:val="24"/>
          <w:szCs w:val="28"/>
        </w:rPr>
        <w:t>»</w:t>
      </w:r>
      <w:r w:rsidR="00CD76F9">
        <w:rPr>
          <w:spacing w:val="6"/>
          <w:sz w:val="26"/>
          <w:szCs w:val="26"/>
        </w:rPr>
        <w:t xml:space="preserve">). La norma asturiana habla de </w:t>
      </w:r>
      <w:r w:rsidR="002F52A4" w:rsidRPr="001913D0">
        <w:rPr>
          <w:rFonts w:ascii="Times New Roman" w:hAnsi="Times New Roman"/>
          <w:bCs/>
          <w:sz w:val="24"/>
          <w:szCs w:val="28"/>
        </w:rPr>
        <w:t>«</w:t>
      </w:r>
      <w:r w:rsidR="00CD76F9">
        <w:rPr>
          <w:spacing w:val="6"/>
          <w:sz w:val="26"/>
          <w:szCs w:val="26"/>
        </w:rPr>
        <w:t>titular</w:t>
      </w:r>
      <w:r w:rsidR="002F52A4" w:rsidRPr="001913D0">
        <w:rPr>
          <w:rFonts w:ascii="Times New Roman" w:hAnsi="Times New Roman"/>
          <w:bCs/>
          <w:sz w:val="24"/>
          <w:szCs w:val="28"/>
        </w:rPr>
        <w:t>»</w:t>
      </w:r>
      <w:r w:rsidR="00CD76F9">
        <w:rPr>
          <w:spacing w:val="6"/>
          <w:sz w:val="26"/>
          <w:szCs w:val="26"/>
        </w:rPr>
        <w:t>.</w:t>
      </w:r>
    </w:p>
    <w:p w14:paraId="1AA1B564" w14:textId="61F7ABCD" w:rsidR="00EF256A" w:rsidRDefault="00EF256A" w:rsidP="00C854F8">
      <w:pPr>
        <w:numPr>
          <w:ilvl w:val="0"/>
          <w:numId w:val="41"/>
        </w:numPr>
        <w:spacing w:line="280" w:lineRule="atLeast"/>
        <w:jc w:val="both"/>
        <w:rPr>
          <w:spacing w:val="6"/>
          <w:sz w:val="26"/>
          <w:szCs w:val="26"/>
        </w:rPr>
      </w:pPr>
      <w:r>
        <w:rPr>
          <w:spacing w:val="6"/>
          <w:sz w:val="26"/>
          <w:szCs w:val="26"/>
        </w:rPr>
        <w:t>¿Cómo computa la participación ganancial?</w:t>
      </w:r>
      <w:r w:rsidR="008141B8">
        <w:rPr>
          <w:spacing w:val="6"/>
          <w:sz w:val="26"/>
          <w:szCs w:val="26"/>
        </w:rPr>
        <w:t>: ¿al 50%? ¿al 100% para quien sea titular? ¿</w:t>
      </w:r>
      <w:proofErr w:type="spellStart"/>
      <w:r w:rsidR="008141B8">
        <w:rPr>
          <w:spacing w:val="6"/>
          <w:sz w:val="26"/>
          <w:szCs w:val="26"/>
        </w:rPr>
        <w:t>como</w:t>
      </w:r>
      <w:proofErr w:type="spellEnd"/>
      <w:r w:rsidR="008141B8">
        <w:rPr>
          <w:spacing w:val="6"/>
          <w:sz w:val="26"/>
          <w:szCs w:val="26"/>
        </w:rPr>
        <w:t xml:space="preserve"> figure en el Catastro?.</w:t>
      </w:r>
    </w:p>
    <w:p w14:paraId="37558996" w14:textId="77777777" w:rsidR="001334B8" w:rsidRDefault="00D12EE1" w:rsidP="00C854F8">
      <w:pPr>
        <w:numPr>
          <w:ilvl w:val="0"/>
          <w:numId w:val="41"/>
        </w:numPr>
        <w:spacing w:line="280" w:lineRule="atLeast"/>
        <w:jc w:val="both"/>
        <w:rPr>
          <w:spacing w:val="6"/>
          <w:sz w:val="26"/>
          <w:szCs w:val="26"/>
        </w:rPr>
      </w:pPr>
      <w:r>
        <w:rPr>
          <w:spacing w:val="6"/>
          <w:sz w:val="26"/>
          <w:szCs w:val="26"/>
        </w:rPr>
        <w:t>Dado que en Cataluña hay una regulación similar (aunque con unos tanteos y retractos administrativos adicionales, que hacen necesaria la certificación registral de la no condición de gran tenedor para la inscripción), cabe trasladar a Asturias su experiencia</w:t>
      </w:r>
      <w:r w:rsidR="00EF256A">
        <w:rPr>
          <w:spacing w:val="6"/>
          <w:sz w:val="26"/>
          <w:szCs w:val="26"/>
        </w:rPr>
        <w:t xml:space="preserve"> en lo que convenga</w:t>
      </w:r>
      <w:r>
        <w:rPr>
          <w:spacing w:val="6"/>
          <w:sz w:val="26"/>
          <w:szCs w:val="26"/>
        </w:rPr>
        <w:t>, en particular</w:t>
      </w:r>
      <w:r w:rsidR="001334B8">
        <w:rPr>
          <w:spacing w:val="6"/>
          <w:sz w:val="26"/>
          <w:szCs w:val="26"/>
        </w:rPr>
        <w:t>:</w:t>
      </w:r>
    </w:p>
    <w:p w14:paraId="4231E68B" w14:textId="77777777" w:rsidR="001334B8" w:rsidRDefault="001334B8" w:rsidP="001334B8">
      <w:pPr>
        <w:spacing w:line="280" w:lineRule="atLeast"/>
        <w:ind w:left="1800"/>
        <w:jc w:val="both"/>
      </w:pPr>
      <w:r>
        <w:rPr>
          <w:spacing w:val="6"/>
          <w:sz w:val="26"/>
          <w:szCs w:val="26"/>
        </w:rPr>
        <w:t>-</w:t>
      </w:r>
      <w:r w:rsidR="00D12EE1">
        <w:rPr>
          <w:spacing w:val="6"/>
          <w:sz w:val="26"/>
          <w:szCs w:val="26"/>
        </w:rPr>
        <w:t xml:space="preserve"> </w:t>
      </w:r>
      <w:r>
        <w:rPr>
          <w:spacing w:val="6"/>
          <w:sz w:val="26"/>
          <w:szCs w:val="26"/>
        </w:rPr>
        <w:t>L</w:t>
      </w:r>
      <w:r w:rsidR="00D12EE1">
        <w:rPr>
          <w:spacing w:val="6"/>
          <w:sz w:val="26"/>
          <w:szCs w:val="26"/>
        </w:rPr>
        <w:t>a</w:t>
      </w:r>
      <w:r w:rsidR="00EF256A">
        <w:rPr>
          <w:spacing w:val="6"/>
          <w:sz w:val="26"/>
          <w:szCs w:val="26"/>
        </w:rPr>
        <w:t xml:space="preserve"> interpretación</w:t>
      </w:r>
      <w:r w:rsidR="00BD0E75">
        <w:rPr>
          <w:spacing w:val="6"/>
          <w:sz w:val="26"/>
          <w:szCs w:val="26"/>
        </w:rPr>
        <w:t xml:space="preserve"> de la</w:t>
      </w:r>
      <w:r w:rsidR="00D12EE1">
        <w:rPr>
          <w:spacing w:val="6"/>
          <w:sz w:val="26"/>
          <w:szCs w:val="26"/>
        </w:rPr>
        <w:t xml:space="preserve"> </w:t>
      </w:r>
      <w:hyperlink r:id="rId138" w:history="1">
        <w:r w:rsidR="00D12EE1" w:rsidRPr="0093577E">
          <w:rPr>
            <w:rStyle w:val="Hipervnculo"/>
            <w:spacing w:val="6"/>
            <w:sz w:val="26"/>
            <w:szCs w:val="26"/>
          </w:rPr>
          <w:t>Resolución</w:t>
        </w:r>
        <w:r w:rsidR="00D952D5" w:rsidRPr="0093577E">
          <w:rPr>
            <w:rStyle w:val="Hipervnculo"/>
            <w:spacing w:val="6"/>
            <w:sz w:val="26"/>
            <w:szCs w:val="26"/>
          </w:rPr>
          <w:t xml:space="preserve"> </w:t>
        </w:r>
        <w:r w:rsidR="00EF256A" w:rsidRPr="0093577E">
          <w:rPr>
            <w:rStyle w:val="Hipervnculo"/>
            <w:spacing w:val="6"/>
            <w:sz w:val="26"/>
            <w:szCs w:val="26"/>
          </w:rPr>
          <w:t xml:space="preserve">DGT catalana </w:t>
        </w:r>
        <w:r w:rsidR="00D12EE1" w:rsidRPr="0093577E">
          <w:rPr>
            <w:rStyle w:val="Hipervnculo"/>
            <w:spacing w:val="6"/>
            <w:sz w:val="26"/>
            <w:szCs w:val="26"/>
          </w:rPr>
          <w:t>3/2025</w:t>
        </w:r>
      </w:hyperlink>
      <w:r>
        <w:t>.</w:t>
      </w:r>
    </w:p>
    <w:p w14:paraId="7048592C" w14:textId="6157EC56" w:rsidR="001334B8" w:rsidRDefault="001334B8" w:rsidP="001334B8">
      <w:pPr>
        <w:spacing w:line="280" w:lineRule="atLeast"/>
        <w:ind w:left="1800"/>
        <w:jc w:val="both"/>
        <w:rPr>
          <w:sz w:val="26"/>
          <w:szCs w:val="26"/>
        </w:rPr>
      </w:pPr>
      <w:r>
        <w:t>-</w:t>
      </w:r>
      <w:r w:rsidR="00711C0C">
        <w:t xml:space="preserve"> </w:t>
      </w:r>
      <w:r>
        <w:rPr>
          <w:sz w:val="26"/>
          <w:szCs w:val="26"/>
        </w:rPr>
        <w:t>E</w:t>
      </w:r>
      <w:r w:rsidR="00711C0C" w:rsidRPr="00711C0C">
        <w:rPr>
          <w:sz w:val="26"/>
          <w:szCs w:val="26"/>
        </w:rPr>
        <w:t>l Informe de la DGT a consulta del Colegio Notarial de Cataluña de 24 de marzo de 2026</w:t>
      </w:r>
      <w:r w:rsidR="00711C0C">
        <w:rPr>
          <w:sz w:val="26"/>
          <w:szCs w:val="26"/>
        </w:rPr>
        <w:t xml:space="preserve"> (disponible en </w:t>
      </w:r>
      <w:r>
        <w:rPr>
          <w:sz w:val="26"/>
          <w:szCs w:val="26"/>
        </w:rPr>
        <w:t>su</w:t>
      </w:r>
      <w:r w:rsidR="00711C0C">
        <w:rPr>
          <w:sz w:val="26"/>
          <w:szCs w:val="26"/>
        </w:rPr>
        <w:t xml:space="preserve"> intranet</w:t>
      </w:r>
      <w:r>
        <w:rPr>
          <w:sz w:val="26"/>
          <w:szCs w:val="26"/>
        </w:rPr>
        <w:t>.</w:t>
      </w:r>
    </w:p>
    <w:p w14:paraId="05A38FD7" w14:textId="77777777" w:rsidR="001334B8" w:rsidRDefault="001334B8" w:rsidP="001334B8">
      <w:pPr>
        <w:spacing w:line="280" w:lineRule="atLeast"/>
        <w:ind w:left="1800"/>
        <w:jc w:val="both"/>
      </w:pPr>
      <w:r>
        <w:rPr>
          <w:sz w:val="26"/>
          <w:szCs w:val="26"/>
        </w:rPr>
        <w:t>- T</w:t>
      </w:r>
      <w:r w:rsidR="0093577E">
        <w:rPr>
          <w:spacing w:val="6"/>
          <w:sz w:val="26"/>
          <w:szCs w:val="26"/>
        </w:rPr>
        <w:t xml:space="preserve">oda una serie de consultas resumidas por </w:t>
      </w:r>
      <w:hyperlink r:id="rId139" w:history="1">
        <w:proofErr w:type="spellStart"/>
        <w:r w:rsidR="0093577E" w:rsidRPr="0093577E">
          <w:rPr>
            <w:rStyle w:val="Hipervnculo"/>
            <w:i/>
            <w:iCs/>
            <w:spacing w:val="6"/>
            <w:sz w:val="26"/>
            <w:szCs w:val="26"/>
          </w:rPr>
          <w:t>Tottributs</w:t>
        </w:r>
        <w:proofErr w:type="spellEnd"/>
      </w:hyperlink>
      <w:r>
        <w:t>.</w:t>
      </w:r>
    </w:p>
    <w:p w14:paraId="48B877B2" w14:textId="0AC6E3EF" w:rsidR="00D12EE1" w:rsidRDefault="001334B8" w:rsidP="001334B8">
      <w:pPr>
        <w:spacing w:line="280" w:lineRule="atLeast"/>
        <w:ind w:left="1800"/>
        <w:jc w:val="both"/>
        <w:rPr>
          <w:spacing w:val="6"/>
          <w:sz w:val="26"/>
          <w:szCs w:val="26"/>
        </w:rPr>
      </w:pPr>
      <w:r>
        <w:t>-</w:t>
      </w:r>
      <w:r w:rsidR="00E146E7">
        <w:rPr>
          <w:spacing w:val="6"/>
          <w:sz w:val="26"/>
          <w:szCs w:val="26"/>
        </w:rPr>
        <w:t xml:space="preserve"> </w:t>
      </w:r>
      <w:r>
        <w:rPr>
          <w:spacing w:val="6"/>
          <w:sz w:val="26"/>
          <w:szCs w:val="26"/>
        </w:rPr>
        <w:t>L</w:t>
      </w:r>
      <w:r w:rsidR="00E146E7">
        <w:rPr>
          <w:spacing w:val="6"/>
          <w:sz w:val="26"/>
          <w:szCs w:val="26"/>
        </w:rPr>
        <w:t>a conferencia</w:t>
      </w:r>
      <w:r>
        <w:rPr>
          <w:spacing w:val="6"/>
          <w:sz w:val="26"/>
          <w:szCs w:val="26"/>
        </w:rPr>
        <w:t xml:space="preserve"> (disponible en la intranet catalana)</w:t>
      </w:r>
      <w:r w:rsidR="00E146E7">
        <w:rPr>
          <w:spacing w:val="6"/>
          <w:sz w:val="26"/>
          <w:szCs w:val="26"/>
        </w:rPr>
        <w:t xml:space="preserve"> y </w:t>
      </w:r>
      <w:proofErr w:type="spellStart"/>
      <w:r w:rsidR="00E146E7">
        <w:rPr>
          <w:spacing w:val="6"/>
          <w:sz w:val="26"/>
          <w:szCs w:val="26"/>
        </w:rPr>
        <w:t>powerpoint</w:t>
      </w:r>
      <w:proofErr w:type="spellEnd"/>
      <w:r w:rsidR="00E146E7">
        <w:rPr>
          <w:spacing w:val="6"/>
          <w:sz w:val="26"/>
          <w:szCs w:val="26"/>
        </w:rPr>
        <w:t xml:space="preserve"> del notario José G</w:t>
      </w:r>
      <w:r w:rsidR="00E146E7" w:rsidRPr="00E146E7">
        <w:rPr>
          <w:spacing w:val="6"/>
          <w:sz w:val="22"/>
          <w:szCs w:val="22"/>
        </w:rPr>
        <w:t>ALDÓN</w:t>
      </w:r>
      <w:r>
        <w:rPr>
          <w:spacing w:val="6"/>
          <w:sz w:val="26"/>
          <w:szCs w:val="26"/>
        </w:rPr>
        <w:t xml:space="preserve">; así como su artículo </w:t>
      </w:r>
      <w:hyperlink r:id="rId140" w:history="1">
        <w:r w:rsidR="0035306D" w:rsidRPr="0035306D">
          <w:rPr>
            <w:rStyle w:val="Hipervnculo"/>
            <w:rFonts w:ascii="Times New Roman" w:hAnsi="Times New Roman"/>
            <w:i/>
            <w:iCs/>
            <w:sz w:val="26"/>
            <w:szCs w:val="26"/>
            <w:bdr w:val="none" w:sz="0" w:space="0" w:color="auto" w:frame="1"/>
            <w:shd w:val="clear" w:color="auto" w:fill="FFFFFF"/>
          </w:rPr>
          <w:t xml:space="preserve">El </w:t>
        </w:r>
        <w:r w:rsidR="0035306D" w:rsidRPr="0035306D">
          <w:rPr>
            <w:rStyle w:val="Hipervnculo"/>
            <w:rFonts w:ascii="Times New Roman" w:hAnsi="Times New Roman"/>
            <w:i/>
            <w:iCs/>
            <w:sz w:val="26"/>
            <w:szCs w:val="26"/>
            <w:bdr w:val="none" w:sz="0" w:space="0" w:color="auto" w:frame="1"/>
            <w:shd w:val="clear" w:color="auto" w:fill="FFFFFF"/>
          </w:rPr>
          <w:lastRenderedPageBreak/>
          <w:t>concepto fiscal de “gran tenedor” en Cataluña</w:t>
        </w:r>
      </w:hyperlink>
      <w:r w:rsidR="0035306D">
        <w:rPr>
          <w:rStyle w:val="Textoennegrita"/>
          <w:rFonts w:ascii="Verdana" w:hAnsi="Verdana"/>
          <w:color w:val="000000"/>
          <w:sz w:val="28"/>
          <w:szCs w:val="28"/>
          <w:bdr w:val="none" w:sz="0" w:space="0" w:color="auto" w:frame="1"/>
          <w:shd w:val="clear" w:color="auto" w:fill="FFFFFF"/>
        </w:rPr>
        <w:t xml:space="preserve"> </w:t>
      </w:r>
      <w:r w:rsidR="0035306D">
        <w:rPr>
          <w:spacing w:val="6"/>
          <w:sz w:val="26"/>
          <w:szCs w:val="26"/>
        </w:rPr>
        <w:t xml:space="preserve">publicado en septiembre de 2026 </w:t>
      </w:r>
      <w:r>
        <w:rPr>
          <w:spacing w:val="6"/>
          <w:sz w:val="26"/>
          <w:szCs w:val="26"/>
        </w:rPr>
        <w:t xml:space="preserve">en </w:t>
      </w:r>
      <w:hyperlink r:id="rId141" w:history="1">
        <w:r w:rsidRPr="00D05DA5">
          <w:rPr>
            <w:rStyle w:val="Hipervnculo"/>
            <w:spacing w:val="6"/>
            <w:sz w:val="26"/>
            <w:szCs w:val="26"/>
          </w:rPr>
          <w:t>www.notariosyregistradores.com</w:t>
        </w:r>
      </w:hyperlink>
      <w:r>
        <w:rPr>
          <w:spacing w:val="6"/>
          <w:sz w:val="26"/>
          <w:szCs w:val="26"/>
        </w:rPr>
        <w:t xml:space="preserve">. </w:t>
      </w:r>
    </w:p>
    <w:p w14:paraId="67D4D49C" w14:textId="77777777" w:rsidR="001E0019" w:rsidRDefault="001E0019" w:rsidP="00C854F8">
      <w:pPr>
        <w:numPr>
          <w:ilvl w:val="2"/>
          <w:numId w:val="15"/>
        </w:numPr>
        <w:tabs>
          <w:tab w:val="num" w:pos="2520"/>
        </w:tabs>
        <w:spacing w:line="280" w:lineRule="atLeast"/>
        <w:jc w:val="both"/>
        <w:rPr>
          <w:b/>
          <w:spacing w:val="6"/>
          <w:sz w:val="22"/>
          <w:szCs w:val="22"/>
        </w:rPr>
      </w:pPr>
      <w:bookmarkStart w:id="62" w:name="tratamiento223"/>
      <w:bookmarkStart w:id="63" w:name="_Hlk238627389"/>
      <w:bookmarkEnd w:id="62"/>
      <w:r>
        <w:rPr>
          <w:b/>
          <w:spacing w:val="6"/>
          <w:sz w:val="26"/>
          <w:szCs w:val="26"/>
        </w:rPr>
        <w:t>Tratamiento notarial</w:t>
      </w:r>
    </w:p>
    <w:bookmarkEnd w:id="63"/>
    <w:p w14:paraId="6AED428E" w14:textId="77777777" w:rsidR="001E0019" w:rsidRPr="005669C4" w:rsidRDefault="001E0019" w:rsidP="001E0019">
      <w:pPr>
        <w:spacing w:line="280" w:lineRule="atLeast"/>
        <w:ind w:left="1440"/>
        <w:jc w:val="both"/>
        <w:rPr>
          <w:spacing w:val="6"/>
          <w:sz w:val="26"/>
          <w:szCs w:val="26"/>
          <w:u w:val="single"/>
        </w:rPr>
      </w:pPr>
      <w:r>
        <w:rPr>
          <w:rFonts w:ascii="CG Times" w:hAnsi="CG Times"/>
          <w:sz w:val="26"/>
          <w:szCs w:val="26"/>
        </w:rPr>
        <w:t>Incluir</w:t>
      </w:r>
      <w:r w:rsidR="00B0332D">
        <w:rPr>
          <w:rFonts w:ascii="CG Times" w:hAnsi="CG Times"/>
          <w:sz w:val="26"/>
          <w:szCs w:val="26"/>
        </w:rPr>
        <w:t xml:space="preserve"> por defecto</w:t>
      </w:r>
      <w:r>
        <w:rPr>
          <w:rFonts w:ascii="CG Times" w:hAnsi="CG Times"/>
          <w:sz w:val="26"/>
          <w:szCs w:val="26"/>
        </w:rPr>
        <w:t xml:space="preserve"> la siguiente cláusula en la Exposición</w:t>
      </w:r>
      <w:r w:rsidR="00C741C8">
        <w:rPr>
          <w:rFonts w:ascii="CG Times" w:hAnsi="CG Times"/>
          <w:sz w:val="26"/>
          <w:szCs w:val="26"/>
        </w:rPr>
        <w:t xml:space="preserve"> para el supuesto habitual de que el adquirente</w:t>
      </w:r>
      <w:r w:rsidR="00B96BD0">
        <w:rPr>
          <w:rFonts w:ascii="CG Times" w:hAnsi="CG Times"/>
          <w:sz w:val="26"/>
          <w:szCs w:val="26"/>
        </w:rPr>
        <w:t xml:space="preserve"> de vivienda</w:t>
      </w:r>
      <w:r w:rsidR="00C741C8">
        <w:rPr>
          <w:rFonts w:ascii="CG Times" w:hAnsi="CG Times"/>
          <w:sz w:val="26"/>
          <w:szCs w:val="26"/>
        </w:rPr>
        <w:t xml:space="preserve"> no tenga la condición de gran tenedor</w:t>
      </w:r>
      <w:r w:rsidR="007908FB">
        <w:rPr>
          <w:rFonts w:ascii="CG Times" w:hAnsi="CG Times"/>
          <w:sz w:val="26"/>
          <w:szCs w:val="26"/>
        </w:rPr>
        <w:t xml:space="preserve"> y se trate de zona no tensionada</w:t>
      </w:r>
      <w:r>
        <w:rPr>
          <w:rFonts w:ascii="CG Times" w:hAnsi="CG Times"/>
          <w:sz w:val="26"/>
          <w:szCs w:val="26"/>
        </w:rPr>
        <w:t>:</w:t>
      </w:r>
    </w:p>
    <w:p w14:paraId="2B1F3248" w14:textId="77777777" w:rsidR="00D12EE1" w:rsidRDefault="001E0019" w:rsidP="001E0019">
      <w:pPr>
        <w:tabs>
          <w:tab w:val="num" w:pos="2520"/>
        </w:tabs>
        <w:spacing w:line="280" w:lineRule="atLeast"/>
        <w:ind w:left="1440"/>
        <w:jc w:val="both"/>
        <w:rPr>
          <w:color w:val="000000"/>
          <w:spacing w:val="6"/>
          <w:sz w:val="26"/>
          <w:szCs w:val="26"/>
        </w:rPr>
      </w:pPr>
      <w:bookmarkStart w:id="64" w:name="_Hlk215646649"/>
      <w:r w:rsidRPr="00C7515A">
        <w:rPr>
          <w:rFonts w:ascii="CG Times" w:hAnsi="CG Times"/>
          <w:b/>
          <w:sz w:val="26"/>
          <w:szCs w:val="26"/>
        </w:rPr>
        <w:t>E) Declaraciones fiscales.-</w:t>
      </w:r>
      <w:r w:rsidRPr="00C7515A">
        <w:rPr>
          <w:rFonts w:ascii="CG Times" w:hAnsi="CG Times"/>
          <w:sz w:val="26"/>
          <w:szCs w:val="26"/>
        </w:rPr>
        <w:t xml:space="preserve"> </w:t>
      </w:r>
      <w:bookmarkStart w:id="65" w:name="_Hlk215732332"/>
      <w:r w:rsidRPr="00C7515A">
        <w:rPr>
          <w:rFonts w:ascii="CG Times" w:hAnsi="CG Times"/>
          <w:sz w:val="26"/>
          <w:szCs w:val="26"/>
        </w:rPr>
        <w:t xml:space="preserve">A los efectos previstos en el </w:t>
      </w:r>
      <w:hyperlink r:id="rId142" w:anchor="a31b" w:history="1">
        <w:r w:rsidRPr="00A8409F">
          <w:rPr>
            <w:rStyle w:val="Hipervnculo"/>
            <w:rFonts w:ascii="Times New Roman" w:hAnsi="Times New Roman"/>
            <w:sz w:val="26"/>
            <w:szCs w:val="26"/>
            <w:lang w:val="es-ES"/>
          </w:rPr>
          <w:t>art. 3</w:t>
        </w:r>
        <w:r w:rsidR="00C741C8" w:rsidRPr="00A8409F">
          <w:rPr>
            <w:rStyle w:val="Hipervnculo"/>
            <w:rFonts w:ascii="Times New Roman" w:hAnsi="Times New Roman"/>
            <w:sz w:val="26"/>
            <w:szCs w:val="26"/>
            <w:lang w:val="es-ES"/>
          </w:rPr>
          <w:t>1</w:t>
        </w:r>
        <w:r w:rsidRPr="00A8409F">
          <w:rPr>
            <w:rStyle w:val="Hipervnculo"/>
            <w:rFonts w:ascii="Times New Roman" w:hAnsi="Times New Roman"/>
            <w:sz w:val="26"/>
            <w:szCs w:val="26"/>
            <w:lang w:val="es-ES"/>
          </w:rPr>
          <w:t xml:space="preserve"> bis del Decreto-legislativo asturiano 2/2014</w:t>
        </w:r>
      </w:hyperlink>
      <w:r w:rsidRPr="00C7515A">
        <w:rPr>
          <w:rFonts w:ascii="CG Times" w:hAnsi="CG Times"/>
          <w:sz w:val="26"/>
          <w:szCs w:val="26"/>
        </w:rPr>
        <w:t xml:space="preserve">, </w:t>
      </w:r>
      <w:r w:rsidR="00B96BD0">
        <w:rPr>
          <w:rFonts w:ascii="CG Times" w:hAnsi="CG Times"/>
          <w:sz w:val="26"/>
          <w:szCs w:val="26"/>
        </w:rPr>
        <w:t>la parte adquirente</w:t>
      </w:r>
      <w:r w:rsidR="00826A14">
        <w:rPr>
          <w:rFonts w:ascii="CG Times" w:hAnsi="CG Times"/>
          <w:sz w:val="26"/>
          <w:szCs w:val="26"/>
        </w:rPr>
        <w:t xml:space="preserve"> </w:t>
      </w:r>
      <w:r w:rsidRPr="00C7515A">
        <w:rPr>
          <w:rFonts w:ascii="CG Times" w:hAnsi="CG Times"/>
          <w:sz w:val="26"/>
          <w:szCs w:val="26"/>
        </w:rPr>
        <w:t>manifiesta que</w:t>
      </w:r>
      <w:r w:rsidR="00B96BD0">
        <w:rPr>
          <w:rFonts w:ascii="CG Times" w:hAnsi="CG Times"/>
          <w:sz w:val="26"/>
          <w:szCs w:val="26"/>
        </w:rPr>
        <w:t xml:space="preserve"> NO</w:t>
      </w:r>
      <w:r w:rsidRPr="00C7515A">
        <w:rPr>
          <w:rFonts w:ascii="CG Times" w:hAnsi="CG Times"/>
          <w:sz w:val="26"/>
          <w:szCs w:val="26"/>
        </w:rPr>
        <w:t xml:space="preserve"> le es de aplicación el tipo </w:t>
      </w:r>
      <w:r w:rsidR="00B96BD0">
        <w:rPr>
          <w:rFonts w:ascii="CG Times" w:hAnsi="CG Times"/>
          <w:sz w:val="26"/>
          <w:szCs w:val="26"/>
        </w:rPr>
        <w:t>incrementado del 20%</w:t>
      </w:r>
      <w:r w:rsidRPr="00C7515A">
        <w:rPr>
          <w:rFonts w:ascii="CG Times" w:hAnsi="CG Times"/>
          <w:sz w:val="26"/>
          <w:szCs w:val="26"/>
        </w:rPr>
        <w:t xml:space="preserve"> en el Impuesto sobre Transmisio</w:t>
      </w:r>
      <w:r>
        <w:rPr>
          <w:rFonts w:ascii="CG Times" w:hAnsi="CG Times"/>
          <w:sz w:val="26"/>
          <w:szCs w:val="26"/>
        </w:rPr>
        <w:t>nes Patrimoniales</w:t>
      </w:r>
      <w:r w:rsidR="00B96BD0">
        <w:rPr>
          <w:rFonts w:ascii="CG Times" w:hAnsi="CG Times"/>
          <w:sz w:val="26"/>
          <w:szCs w:val="26"/>
        </w:rPr>
        <w:t xml:space="preserve"> Onerosas, pues no re</w:t>
      </w:r>
      <w:r w:rsidR="00631DC1">
        <w:rPr>
          <w:rFonts w:ascii="CG Times" w:hAnsi="CG Times"/>
          <w:sz w:val="26"/>
          <w:szCs w:val="26"/>
        </w:rPr>
        <w:t>ú</w:t>
      </w:r>
      <w:r w:rsidR="00B96BD0">
        <w:rPr>
          <w:rFonts w:ascii="CG Times" w:hAnsi="CG Times"/>
          <w:sz w:val="26"/>
          <w:szCs w:val="26"/>
        </w:rPr>
        <w:t xml:space="preserve">ne la condición de gran tenedor, </w:t>
      </w:r>
      <w:r w:rsidR="00826A14">
        <w:rPr>
          <w:rFonts w:ascii="CG Times" w:hAnsi="CG Times"/>
          <w:sz w:val="26"/>
          <w:szCs w:val="26"/>
        </w:rPr>
        <w:t xml:space="preserve">es decir, que sumada la vivienda adquirida, sea titular de </w:t>
      </w:r>
      <w:r w:rsidR="00826A14" w:rsidRPr="00826A14">
        <w:rPr>
          <w:color w:val="000000"/>
          <w:spacing w:val="6"/>
          <w:sz w:val="26"/>
          <w:szCs w:val="26"/>
        </w:rPr>
        <w:t xml:space="preserve">más de 10 inmuebles de uso residencial o </w:t>
      </w:r>
      <w:r w:rsidR="00826A14">
        <w:rPr>
          <w:color w:val="000000"/>
          <w:spacing w:val="6"/>
          <w:sz w:val="26"/>
          <w:szCs w:val="26"/>
        </w:rPr>
        <w:t>con una superficie construida superior a</w:t>
      </w:r>
      <w:r w:rsidR="00826A14" w:rsidRPr="00826A14">
        <w:rPr>
          <w:color w:val="000000"/>
          <w:spacing w:val="6"/>
          <w:sz w:val="26"/>
          <w:szCs w:val="26"/>
        </w:rPr>
        <w:t xml:space="preserve"> 1500 m2, excluyendo garajes y trasteros</w:t>
      </w:r>
      <w:r w:rsidR="00FC4C8E">
        <w:rPr>
          <w:color w:val="000000"/>
          <w:spacing w:val="6"/>
          <w:sz w:val="26"/>
          <w:szCs w:val="26"/>
        </w:rPr>
        <w:t>.</w:t>
      </w:r>
    </w:p>
    <w:p w14:paraId="21B7B71C" w14:textId="77777777" w:rsidR="00F25901" w:rsidRPr="00F25901" w:rsidRDefault="00FC4C8E" w:rsidP="00C854F8">
      <w:pPr>
        <w:numPr>
          <w:ilvl w:val="1"/>
          <w:numId w:val="15"/>
        </w:numPr>
        <w:tabs>
          <w:tab w:val="num" w:pos="2520"/>
        </w:tabs>
        <w:spacing w:line="280" w:lineRule="atLeast"/>
        <w:jc w:val="both"/>
        <w:rPr>
          <w:b/>
          <w:color w:val="000000"/>
          <w:spacing w:val="6"/>
          <w:sz w:val="26"/>
          <w:szCs w:val="26"/>
        </w:rPr>
      </w:pPr>
      <w:bookmarkStart w:id="66" w:name="incrementadoedificios"/>
      <w:bookmarkEnd w:id="64"/>
      <w:bookmarkEnd w:id="65"/>
      <w:bookmarkEnd w:id="66"/>
      <w:r w:rsidRPr="00FC4C8E">
        <w:rPr>
          <w:b/>
          <w:color w:val="000000"/>
          <w:spacing w:val="6"/>
          <w:sz w:val="26"/>
          <w:szCs w:val="26"/>
        </w:rPr>
        <w:t xml:space="preserve">Tipo incrementado del 20% </w:t>
      </w:r>
      <w:r w:rsidR="00F25901" w:rsidRPr="00F25901">
        <w:rPr>
          <w:b/>
          <w:color w:val="000000"/>
          <w:spacing w:val="6"/>
          <w:sz w:val="26"/>
          <w:szCs w:val="26"/>
        </w:rPr>
        <w:t>en TPO por adquisición de edificios de viviendas con destino a uso turístico</w:t>
      </w:r>
    </w:p>
    <w:p w14:paraId="1FF87A93" w14:textId="77777777" w:rsidR="00FC4C8E" w:rsidRPr="00CD64F0" w:rsidRDefault="00FC4C8E" w:rsidP="00C854F8">
      <w:pPr>
        <w:numPr>
          <w:ilvl w:val="2"/>
          <w:numId w:val="15"/>
        </w:numPr>
        <w:tabs>
          <w:tab w:val="num" w:pos="2520"/>
        </w:tabs>
        <w:spacing w:line="280" w:lineRule="atLeast"/>
        <w:jc w:val="both"/>
        <w:rPr>
          <w:b/>
          <w:color w:val="000000"/>
          <w:spacing w:val="6"/>
          <w:sz w:val="22"/>
          <w:szCs w:val="22"/>
        </w:rPr>
      </w:pPr>
      <w:bookmarkStart w:id="67" w:name="normativa231"/>
      <w:bookmarkEnd w:id="67"/>
      <w:r>
        <w:rPr>
          <w:b/>
          <w:color w:val="000000"/>
          <w:spacing w:val="6"/>
          <w:sz w:val="26"/>
          <w:szCs w:val="26"/>
        </w:rPr>
        <w:t>Normativa</w:t>
      </w:r>
      <w:r w:rsidR="00AB385B">
        <w:rPr>
          <w:b/>
          <w:color w:val="000000"/>
          <w:spacing w:val="6"/>
          <w:sz w:val="26"/>
          <w:szCs w:val="26"/>
        </w:rPr>
        <w:t xml:space="preserve"> vigente</w:t>
      </w:r>
    </w:p>
    <w:p w14:paraId="1A83253B" w14:textId="77777777" w:rsidR="00CD64F0" w:rsidRPr="00711C0C" w:rsidRDefault="00CD64F0" w:rsidP="00CD64F0">
      <w:pPr>
        <w:tabs>
          <w:tab w:val="num" w:pos="2520"/>
        </w:tabs>
        <w:spacing w:line="280" w:lineRule="atLeast"/>
        <w:ind w:left="1440"/>
        <w:jc w:val="both"/>
        <w:rPr>
          <w:color w:val="000000" w:themeColor="text1"/>
          <w:spacing w:val="6"/>
          <w:sz w:val="26"/>
          <w:szCs w:val="26"/>
        </w:rPr>
      </w:pPr>
      <w:hyperlink r:id="rId143" w:anchor="a31b" w:history="1">
        <w:r w:rsidRPr="00A8409F">
          <w:rPr>
            <w:rStyle w:val="Hipervnculo"/>
            <w:spacing w:val="6"/>
            <w:sz w:val="26"/>
            <w:szCs w:val="26"/>
          </w:rPr>
          <w:t>Art. 31 bis del Decreto-legislativo asturiano 2/2024</w:t>
        </w:r>
      </w:hyperlink>
      <w:r w:rsidRPr="00A903FD">
        <w:rPr>
          <w:color w:val="000000"/>
          <w:spacing w:val="6"/>
          <w:sz w:val="26"/>
          <w:szCs w:val="26"/>
        </w:rPr>
        <w:t xml:space="preserve"> (tras la reforma por </w:t>
      </w:r>
      <w:hyperlink r:id="rId144" w:history="1">
        <w:r w:rsidRPr="00DB3CC4">
          <w:rPr>
            <w:rStyle w:val="Hipervnculo"/>
            <w:spacing w:val="6"/>
            <w:sz w:val="26"/>
            <w:szCs w:val="26"/>
          </w:rPr>
          <w:t>Ley 3/2025</w:t>
        </w:r>
      </w:hyperlink>
      <w:r w:rsidRPr="00A903FD">
        <w:rPr>
          <w:color w:val="000000"/>
          <w:spacing w:val="6"/>
          <w:sz w:val="26"/>
          <w:szCs w:val="26"/>
        </w:rPr>
        <w:t xml:space="preserve">, en vigor desde el 3 de diciembre de 2025): </w:t>
      </w:r>
      <w:r w:rsidRPr="00711C0C">
        <w:rPr>
          <w:color w:val="000000" w:themeColor="text1"/>
          <w:spacing w:val="6"/>
          <w:sz w:val="26"/>
          <w:szCs w:val="26"/>
        </w:rPr>
        <w:t>Tipo incrementado del 20% para las transmisiones (computándose las adquisiciones parciales de los últimos 4 años) de edificios enteros (de al menos 3 viviendas en división horizontal) cuando el adquirente sea una persona física o jurídica que dentro de los 4 años siguientes se destinen en al menos el 25% a viviendas de uso turístico.</w:t>
      </w:r>
    </w:p>
    <w:p w14:paraId="34381B61" w14:textId="77777777" w:rsidR="00FC4C8E" w:rsidRPr="006977AE" w:rsidRDefault="00FC4C8E" w:rsidP="00C854F8">
      <w:pPr>
        <w:numPr>
          <w:ilvl w:val="2"/>
          <w:numId w:val="15"/>
        </w:numPr>
        <w:tabs>
          <w:tab w:val="num" w:pos="2520"/>
        </w:tabs>
        <w:spacing w:line="280" w:lineRule="atLeast"/>
        <w:jc w:val="both"/>
        <w:rPr>
          <w:b/>
          <w:color w:val="000000"/>
          <w:spacing w:val="6"/>
          <w:sz w:val="22"/>
          <w:szCs w:val="22"/>
        </w:rPr>
      </w:pPr>
      <w:bookmarkStart w:id="68" w:name="tratamiento232"/>
      <w:bookmarkEnd w:id="68"/>
      <w:r>
        <w:rPr>
          <w:b/>
          <w:color w:val="000000"/>
          <w:spacing w:val="6"/>
          <w:sz w:val="26"/>
          <w:szCs w:val="26"/>
        </w:rPr>
        <w:t>Tratamiento notarial</w:t>
      </w:r>
    </w:p>
    <w:p w14:paraId="677F34FF" w14:textId="77777777" w:rsidR="006977AE" w:rsidRDefault="006977AE" w:rsidP="006977AE">
      <w:pPr>
        <w:tabs>
          <w:tab w:val="num" w:pos="2520"/>
        </w:tabs>
        <w:spacing w:line="280" w:lineRule="atLeast"/>
        <w:ind w:left="1440"/>
        <w:jc w:val="both"/>
        <w:rPr>
          <w:color w:val="000000"/>
          <w:spacing w:val="6"/>
          <w:sz w:val="26"/>
          <w:szCs w:val="26"/>
        </w:rPr>
      </w:pPr>
      <w:bookmarkStart w:id="69" w:name="_Hlk224835505"/>
      <w:r w:rsidRPr="00C7515A">
        <w:rPr>
          <w:rFonts w:ascii="CG Times" w:hAnsi="CG Times"/>
          <w:b/>
          <w:sz w:val="26"/>
          <w:szCs w:val="26"/>
        </w:rPr>
        <w:t>E) Declaraciones fiscales.-</w:t>
      </w:r>
      <w:r w:rsidRPr="00C7515A">
        <w:rPr>
          <w:rFonts w:ascii="CG Times" w:hAnsi="CG Times"/>
          <w:sz w:val="26"/>
          <w:szCs w:val="26"/>
        </w:rPr>
        <w:t xml:space="preserve"> A los efectos previstos en el </w:t>
      </w:r>
      <w:hyperlink r:id="rId145" w:anchor="a31b" w:history="1">
        <w:r w:rsidRPr="00A8409F">
          <w:rPr>
            <w:rStyle w:val="Hipervnculo"/>
            <w:rFonts w:ascii="Times New Roman" w:hAnsi="Times New Roman"/>
            <w:sz w:val="26"/>
            <w:szCs w:val="26"/>
            <w:lang w:val="es-ES"/>
          </w:rPr>
          <w:t>art. 31 bis del Decreto-legislativo asturiano 2/2014</w:t>
        </w:r>
      </w:hyperlink>
      <w:r w:rsidRPr="00C7515A">
        <w:rPr>
          <w:rFonts w:ascii="CG Times" w:hAnsi="CG Times"/>
          <w:sz w:val="26"/>
          <w:szCs w:val="26"/>
        </w:rPr>
        <w:t xml:space="preserve">, </w:t>
      </w:r>
      <w:r>
        <w:rPr>
          <w:rFonts w:ascii="CG Times" w:hAnsi="CG Times"/>
          <w:sz w:val="26"/>
          <w:szCs w:val="26"/>
        </w:rPr>
        <w:t xml:space="preserve">la parte adquirente </w:t>
      </w:r>
      <w:r w:rsidRPr="00C7515A">
        <w:rPr>
          <w:rFonts w:ascii="CG Times" w:hAnsi="CG Times"/>
          <w:sz w:val="26"/>
          <w:szCs w:val="26"/>
        </w:rPr>
        <w:t>manifiesta que</w:t>
      </w:r>
      <w:r>
        <w:rPr>
          <w:rFonts w:ascii="CG Times" w:hAnsi="CG Times"/>
          <w:sz w:val="26"/>
          <w:szCs w:val="26"/>
        </w:rPr>
        <w:t xml:space="preserve"> </w:t>
      </w:r>
      <w:bookmarkStart w:id="70" w:name="_Hlk215646728"/>
      <w:r>
        <w:rPr>
          <w:rFonts w:ascii="CG Times" w:hAnsi="CG Times"/>
          <w:sz w:val="26"/>
          <w:szCs w:val="26"/>
        </w:rPr>
        <w:t>NO/SÍ</w:t>
      </w:r>
      <w:r w:rsidRPr="00C7515A">
        <w:rPr>
          <w:rFonts w:ascii="CG Times" w:hAnsi="CG Times"/>
          <w:sz w:val="26"/>
          <w:szCs w:val="26"/>
        </w:rPr>
        <w:t xml:space="preserve"> le es de aplicación </w:t>
      </w:r>
      <w:bookmarkEnd w:id="70"/>
      <w:r w:rsidRPr="00C7515A">
        <w:rPr>
          <w:rFonts w:ascii="CG Times" w:hAnsi="CG Times"/>
          <w:sz w:val="26"/>
          <w:szCs w:val="26"/>
        </w:rPr>
        <w:t xml:space="preserve">el tipo </w:t>
      </w:r>
      <w:r>
        <w:rPr>
          <w:rFonts w:ascii="CG Times" w:hAnsi="CG Times"/>
          <w:sz w:val="26"/>
          <w:szCs w:val="26"/>
        </w:rPr>
        <w:t>incrementado del 20%</w:t>
      </w:r>
      <w:r w:rsidRPr="00C7515A">
        <w:rPr>
          <w:rFonts w:ascii="CG Times" w:hAnsi="CG Times"/>
          <w:sz w:val="26"/>
          <w:szCs w:val="26"/>
        </w:rPr>
        <w:t xml:space="preserve"> en el Impuesto sobre Transmisio</w:t>
      </w:r>
      <w:r>
        <w:rPr>
          <w:rFonts w:ascii="CG Times" w:hAnsi="CG Times"/>
          <w:sz w:val="26"/>
          <w:szCs w:val="26"/>
        </w:rPr>
        <w:t xml:space="preserve">nes Patrimoniales Onerosas, pues el edificio </w:t>
      </w:r>
      <w:r w:rsidR="00063CD9">
        <w:rPr>
          <w:rFonts w:ascii="CG Times" w:hAnsi="CG Times"/>
          <w:sz w:val="26"/>
          <w:szCs w:val="26"/>
        </w:rPr>
        <w:t xml:space="preserve">(de al menos 3 viviendas en división horizontal) adquirido por entero en los últimos 4 años </w:t>
      </w:r>
      <w:r>
        <w:rPr>
          <w:rFonts w:ascii="CG Times" w:hAnsi="CG Times"/>
          <w:sz w:val="26"/>
          <w:szCs w:val="26"/>
        </w:rPr>
        <w:t xml:space="preserve"> NO/SÍ</w:t>
      </w:r>
      <w:r w:rsidRPr="00C7515A">
        <w:rPr>
          <w:rFonts w:ascii="CG Times" w:hAnsi="CG Times"/>
          <w:sz w:val="26"/>
          <w:szCs w:val="26"/>
        </w:rPr>
        <w:t xml:space="preserve"> </w:t>
      </w:r>
      <w:r>
        <w:rPr>
          <w:rFonts w:ascii="CG Times" w:hAnsi="CG Times"/>
          <w:sz w:val="26"/>
          <w:szCs w:val="26"/>
        </w:rPr>
        <w:t xml:space="preserve">se va a destinar </w:t>
      </w:r>
      <w:r>
        <w:rPr>
          <w:color w:val="000000"/>
          <w:spacing w:val="6"/>
          <w:sz w:val="26"/>
          <w:szCs w:val="26"/>
        </w:rPr>
        <w:t>dentro de los 4 años siguientes en al menos el 25% a viviendas de uso turístico.</w:t>
      </w:r>
    </w:p>
    <w:p w14:paraId="162115E6" w14:textId="77777777" w:rsidR="00015278" w:rsidRPr="00015278" w:rsidRDefault="00015278" w:rsidP="00C854F8">
      <w:pPr>
        <w:numPr>
          <w:ilvl w:val="1"/>
          <w:numId w:val="15"/>
        </w:numPr>
        <w:tabs>
          <w:tab w:val="num" w:pos="1440"/>
          <w:tab w:val="num" w:pos="2520"/>
        </w:tabs>
        <w:spacing w:line="280" w:lineRule="atLeast"/>
        <w:jc w:val="both"/>
        <w:rPr>
          <w:b/>
          <w:color w:val="000000"/>
          <w:spacing w:val="6"/>
          <w:sz w:val="26"/>
          <w:szCs w:val="26"/>
        </w:rPr>
      </w:pPr>
      <w:bookmarkStart w:id="71" w:name="zonadespoblada"/>
      <w:bookmarkStart w:id="72" w:name="_Hlk156059859"/>
      <w:bookmarkEnd w:id="50"/>
      <w:bookmarkEnd w:id="54"/>
      <w:bookmarkEnd w:id="69"/>
      <w:bookmarkEnd w:id="71"/>
      <w:r w:rsidRPr="00015278">
        <w:rPr>
          <w:b/>
          <w:spacing w:val="6"/>
          <w:sz w:val="26"/>
          <w:szCs w:val="26"/>
        </w:rPr>
        <w:t xml:space="preserve">Tipo reducido del </w:t>
      </w:r>
      <w:r w:rsidR="002079AE">
        <w:rPr>
          <w:b/>
          <w:spacing w:val="6"/>
          <w:sz w:val="26"/>
          <w:szCs w:val="26"/>
        </w:rPr>
        <w:t xml:space="preserve">4% (hasta 150.000 €) o del </w:t>
      </w:r>
      <w:r w:rsidRPr="00015278">
        <w:rPr>
          <w:b/>
          <w:spacing w:val="6"/>
          <w:sz w:val="26"/>
          <w:szCs w:val="26"/>
        </w:rPr>
        <w:t>6%</w:t>
      </w:r>
      <w:r w:rsidR="002079AE">
        <w:rPr>
          <w:b/>
          <w:spacing w:val="6"/>
          <w:sz w:val="26"/>
          <w:szCs w:val="26"/>
        </w:rPr>
        <w:t xml:space="preserve"> (más de 150.000 €)</w:t>
      </w:r>
      <w:r w:rsidRPr="00015278">
        <w:rPr>
          <w:b/>
          <w:spacing w:val="6"/>
          <w:sz w:val="26"/>
          <w:szCs w:val="26"/>
        </w:rPr>
        <w:t xml:space="preserve"> en TPO por vivienda habitual en zona despoblada</w:t>
      </w:r>
      <w:r w:rsidR="002079AE">
        <w:rPr>
          <w:b/>
          <w:spacing w:val="6"/>
          <w:sz w:val="26"/>
          <w:szCs w:val="26"/>
        </w:rPr>
        <w:t xml:space="preserve"> (desde 01/01/2024)</w:t>
      </w:r>
    </w:p>
    <w:p w14:paraId="0E51C451" w14:textId="77777777" w:rsidR="00015278" w:rsidRPr="007E312E" w:rsidRDefault="00015278" w:rsidP="00C854F8">
      <w:pPr>
        <w:numPr>
          <w:ilvl w:val="2"/>
          <w:numId w:val="15"/>
        </w:numPr>
        <w:tabs>
          <w:tab w:val="num" w:pos="2520"/>
        </w:tabs>
        <w:spacing w:line="280" w:lineRule="atLeast"/>
        <w:jc w:val="both"/>
        <w:rPr>
          <w:b/>
          <w:spacing w:val="6"/>
          <w:sz w:val="22"/>
          <w:szCs w:val="22"/>
        </w:rPr>
      </w:pPr>
      <w:bookmarkStart w:id="73" w:name="nzonadespoblada"/>
      <w:bookmarkStart w:id="74" w:name="_Hlk156057174"/>
      <w:bookmarkEnd w:id="73"/>
      <w:r>
        <w:rPr>
          <w:b/>
          <w:spacing w:val="6"/>
          <w:sz w:val="26"/>
          <w:szCs w:val="26"/>
        </w:rPr>
        <w:t>Normativa vigente</w:t>
      </w:r>
    </w:p>
    <w:bookmarkEnd w:id="74"/>
    <w:p w14:paraId="71E50DE5" w14:textId="77777777" w:rsidR="00996A51" w:rsidRPr="00996A51" w:rsidRDefault="00EC241F" w:rsidP="00996A51">
      <w:pPr>
        <w:tabs>
          <w:tab w:val="num" w:pos="2520"/>
        </w:tabs>
        <w:spacing w:line="280" w:lineRule="atLeast"/>
        <w:ind w:left="1440"/>
        <w:jc w:val="both"/>
        <w:rPr>
          <w:rFonts w:ascii="Times New Roman" w:hAnsi="Times New Roman"/>
          <w:sz w:val="26"/>
          <w:szCs w:val="26"/>
          <w:lang w:val="es-ES"/>
        </w:rPr>
      </w:pPr>
      <w:r>
        <w:rPr>
          <w:rFonts w:ascii="Times New Roman" w:hAnsi="Times New Roman"/>
          <w:sz w:val="26"/>
          <w:szCs w:val="26"/>
          <w:lang w:val="es-ES"/>
        </w:rPr>
        <w:fldChar w:fldCharType="begin"/>
      </w:r>
      <w:r>
        <w:rPr>
          <w:rFonts w:ascii="Times New Roman" w:hAnsi="Times New Roman"/>
          <w:sz w:val="26"/>
          <w:szCs w:val="26"/>
          <w:lang w:val="es-ES"/>
        </w:rPr>
        <w:instrText>HYPERLINK "https://noticias.juridicas.com/base_datos/CCAA/538599-decreto-legislativo-2-2014-de-22-de-octubre-por-el-que-se-aprueba-el-texto.html" \l "a32b"</w:instrText>
      </w:r>
      <w:r>
        <w:rPr>
          <w:rFonts w:ascii="Times New Roman" w:hAnsi="Times New Roman"/>
          <w:sz w:val="26"/>
          <w:szCs w:val="26"/>
          <w:lang w:val="es-ES"/>
        </w:rPr>
      </w:r>
      <w:r>
        <w:rPr>
          <w:rFonts w:ascii="Times New Roman" w:hAnsi="Times New Roman"/>
          <w:sz w:val="26"/>
          <w:szCs w:val="26"/>
          <w:lang w:val="es-ES"/>
        </w:rPr>
        <w:fldChar w:fldCharType="separate"/>
      </w:r>
      <w:r w:rsidR="00996A51" w:rsidRPr="00EC241F">
        <w:rPr>
          <w:rStyle w:val="Hipervnculo"/>
          <w:rFonts w:ascii="Times New Roman" w:hAnsi="Times New Roman"/>
          <w:sz w:val="26"/>
          <w:szCs w:val="26"/>
          <w:lang w:val="es-ES"/>
        </w:rPr>
        <w:t>Art. 32 bis del Decreto-legislativo asturiano 2/2014</w:t>
      </w:r>
      <w:r>
        <w:rPr>
          <w:rFonts w:ascii="Times New Roman" w:hAnsi="Times New Roman"/>
          <w:sz w:val="26"/>
          <w:szCs w:val="26"/>
          <w:lang w:val="es-ES"/>
        </w:rPr>
        <w:fldChar w:fldCharType="end"/>
      </w:r>
      <w:r w:rsidR="002079AE">
        <w:rPr>
          <w:rFonts w:ascii="Times New Roman" w:hAnsi="Times New Roman"/>
          <w:sz w:val="26"/>
          <w:szCs w:val="26"/>
          <w:lang w:val="es-ES"/>
        </w:rPr>
        <w:t xml:space="preserve"> (tras la reforma por </w:t>
      </w:r>
      <w:hyperlink r:id="rId146" w:history="1">
        <w:r w:rsidR="00D04E35" w:rsidRPr="003B6C0B">
          <w:rPr>
            <w:rStyle w:val="Hipervnculo"/>
            <w:rFonts w:ascii="CG Times" w:hAnsi="CG Times"/>
            <w:sz w:val="26"/>
            <w:szCs w:val="26"/>
            <w:lang w:val="es-ES"/>
          </w:rPr>
          <w:t>Ley 4/2023</w:t>
        </w:r>
      </w:hyperlink>
      <w:r w:rsidR="002079AE">
        <w:rPr>
          <w:rFonts w:ascii="Times New Roman" w:hAnsi="Times New Roman"/>
          <w:sz w:val="26"/>
          <w:szCs w:val="26"/>
          <w:lang w:val="es-ES"/>
        </w:rPr>
        <w:t>, en vigor desde el 1 de enero de 2024)</w:t>
      </w:r>
      <w:r w:rsidR="00996A51">
        <w:rPr>
          <w:rFonts w:ascii="Times New Roman" w:hAnsi="Times New Roman"/>
          <w:sz w:val="26"/>
          <w:szCs w:val="26"/>
          <w:lang w:val="es-ES"/>
        </w:rPr>
        <w:t xml:space="preserve">: </w:t>
      </w:r>
      <w:r w:rsidR="00996A51">
        <w:rPr>
          <w:spacing w:val="6"/>
          <w:sz w:val="26"/>
          <w:szCs w:val="26"/>
        </w:rPr>
        <w:t>Tipo reducido del</w:t>
      </w:r>
      <w:r w:rsidR="002079AE">
        <w:rPr>
          <w:spacing w:val="6"/>
          <w:sz w:val="26"/>
          <w:szCs w:val="26"/>
        </w:rPr>
        <w:t xml:space="preserve"> 4% (para valores hasta 150.000 €) o del</w:t>
      </w:r>
      <w:r w:rsidR="00996A51">
        <w:rPr>
          <w:spacing w:val="6"/>
          <w:sz w:val="26"/>
          <w:szCs w:val="26"/>
        </w:rPr>
        <w:t xml:space="preserve"> 6% </w:t>
      </w:r>
      <w:r w:rsidR="002079AE">
        <w:rPr>
          <w:spacing w:val="6"/>
          <w:sz w:val="26"/>
          <w:szCs w:val="26"/>
        </w:rPr>
        <w:t xml:space="preserve">(para valores </w:t>
      </w:r>
      <w:r>
        <w:rPr>
          <w:spacing w:val="6"/>
          <w:sz w:val="26"/>
          <w:szCs w:val="26"/>
        </w:rPr>
        <w:t>desde</w:t>
      </w:r>
      <w:r w:rsidR="002079AE">
        <w:rPr>
          <w:spacing w:val="6"/>
          <w:sz w:val="26"/>
          <w:szCs w:val="26"/>
        </w:rPr>
        <w:t xml:space="preserve"> 150.000 €) </w:t>
      </w:r>
      <w:r w:rsidR="007013DD">
        <w:rPr>
          <w:spacing w:val="6"/>
          <w:sz w:val="26"/>
          <w:szCs w:val="26"/>
        </w:rPr>
        <w:t>en TPO  para la adquis</w:t>
      </w:r>
      <w:r w:rsidR="00902F6E">
        <w:rPr>
          <w:spacing w:val="6"/>
          <w:sz w:val="26"/>
          <w:szCs w:val="26"/>
        </w:rPr>
        <w:t>i</w:t>
      </w:r>
      <w:r w:rsidR="007013DD">
        <w:rPr>
          <w:spacing w:val="6"/>
          <w:sz w:val="26"/>
          <w:szCs w:val="26"/>
        </w:rPr>
        <w:t xml:space="preserve">ción de vivienda habitual </w:t>
      </w:r>
      <w:r w:rsidR="00095DE2">
        <w:rPr>
          <w:spacing w:val="6"/>
          <w:sz w:val="26"/>
          <w:szCs w:val="26"/>
        </w:rPr>
        <w:t>(n</w:t>
      </w:r>
      <w:r w:rsidR="00095DE2" w:rsidRPr="00095DE2">
        <w:rPr>
          <w:spacing w:val="6"/>
          <w:sz w:val="26"/>
          <w:szCs w:val="26"/>
        </w:rPr>
        <w:t xml:space="preserve">o se exige que sea primera ni ningún otro requisito de </w:t>
      </w:r>
      <w:r w:rsidR="00851676">
        <w:rPr>
          <w:spacing w:val="6"/>
          <w:sz w:val="26"/>
          <w:szCs w:val="26"/>
        </w:rPr>
        <w:t>renta, edad, discapacidad o familiar</w:t>
      </w:r>
      <w:r w:rsidR="00AB1952">
        <w:rPr>
          <w:spacing w:val="6"/>
          <w:sz w:val="26"/>
          <w:szCs w:val="26"/>
        </w:rPr>
        <w:t xml:space="preserve">; </w:t>
      </w:r>
      <w:r w:rsidR="00AB1952" w:rsidRPr="00170592">
        <w:rPr>
          <w:spacing w:val="6"/>
          <w:sz w:val="26"/>
          <w:szCs w:val="26"/>
        </w:rPr>
        <w:t>y desde el 1 de enero de 2025 se incluyen 2 garajes y 1 trastero</w:t>
      </w:r>
      <w:r w:rsidR="00095DE2" w:rsidRPr="00170592">
        <w:rPr>
          <w:spacing w:val="6"/>
          <w:sz w:val="26"/>
          <w:szCs w:val="26"/>
        </w:rPr>
        <w:t xml:space="preserve">) </w:t>
      </w:r>
      <w:r w:rsidR="007013DD" w:rsidRPr="00170592">
        <w:rPr>
          <w:spacing w:val="6"/>
          <w:sz w:val="26"/>
          <w:szCs w:val="26"/>
        </w:rPr>
        <w:t>s</w:t>
      </w:r>
      <w:r w:rsidR="007013DD">
        <w:rPr>
          <w:spacing w:val="6"/>
          <w:sz w:val="26"/>
          <w:szCs w:val="26"/>
        </w:rPr>
        <w:t xml:space="preserve">ituada en zona rural </w:t>
      </w:r>
      <w:r w:rsidR="005B5643">
        <w:rPr>
          <w:spacing w:val="6"/>
          <w:sz w:val="26"/>
          <w:szCs w:val="26"/>
        </w:rPr>
        <w:t xml:space="preserve">de concejo </w:t>
      </w:r>
      <w:r w:rsidR="005B5643">
        <w:rPr>
          <w:spacing w:val="6"/>
          <w:sz w:val="26"/>
          <w:szCs w:val="26"/>
        </w:rPr>
        <w:lastRenderedPageBreak/>
        <w:t>en riesgo de</w:t>
      </w:r>
      <w:r w:rsidR="007013DD">
        <w:rPr>
          <w:spacing w:val="6"/>
          <w:sz w:val="26"/>
          <w:szCs w:val="26"/>
        </w:rPr>
        <w:t xml:space="preserve"> despobla</w:t>
      </w:r>
      <w:r w:rsidR="005B5643">
        <w:rPr>
          <w:spacing w:val="6"/>
          <w:sz w:val="26"/>
          <w:szCs w:val="26"/>
        </w:rPr>
        <w:t>miento</w:t>
      </w:r>
      <w:r w:rsidR="00672E9F">
        <w:rPr>
          <w:spacing w:val="6"/>
          <w:sz w:val="26"/>
          <w:szCs w:val="26"/>
        </w:rPr>
        <w:t xml:space="preserve"> o en crisis demográfica</w:t>
      </w:r>
      <w:r w:rsidR="005B5643">
        <w:rPr>
          <w:spacing w:val="6"/>
          <w:sz w:val="26"/>
          <w:szCs w:val="26"/>
        </w:rPr>
        <w:t xml:space="preserve"> conforme al </w:t>
      </w:r>
      <w:bookmarkStart w:id="75" w:name="_Hlk218151453"/>
      <w:r w:rsidR="00672E9F">
        <w:rPr>
          <w:spacing w:val="6"/>
          <w:sz w:val="26"/>
          <w:szCs w:val="26"/>
        </w:rPr>
        <w:fldChar w:fldCharType="begin"/>
      </w:r>
      <w:r w:rsidR="00440157">
        <w:rPr>
          <w:spacing w:val="6"/>
          <w:sz w:val="26"/>
          <w:szCs w:val="26"/>
        </w:rPr>
        <w:instrText>HYPERLINK "https://miprincipado.asturias.es/ast/bopa/disposiciones?p_p_id=pa_sede_bopa_web_portlet_SedeBopaDispositionWeb&amp;p_p_lifecycle=0&amp;_pa_sede_bopa_web_portlet_SedeBopaDispositionWeb_mvcRenderCommandName=%2Fdisposition%2Fdetail&amp;p_r_p_dispositionText=2025-05426&amp;p_r_p_dispositionReference=2025-05426&amp;p_r_p_dispositionDate=27%2F06%2F2025"</w:instrText>
      </w:r>
      <w:r w:rsidR="00672E9F">
        <w:rPr>
          <w:spacing w:val="6"/>
          <w:sz w:val="26"/>
          <w:szCs w:val="26"/>
        </w:rPr>
      </w:r>
      <w:r w:rsidR="00672E9F">
        <w:rPr>
          <w:spacing w:val="6"/>
          <w:sz w:val="26"/>
          <w:szCs w:val="26"/>
        </w:rPr>
        <w:fldChar w:fldCharType="separate"/>
      </w:r>
      <w:r w:rsidR="005B5643" w:rsidRPr="00672E9F">
        <w:rPr>
          <w:rStyle w:val="Hipervnculo"/>
          <w:spacing w:val="6"/>
          <w:sz w:val="26"/>
          <w:szCs w:val="26"/>
        </w:rPr>
        <w:t>Decreto 83/2025</w:t>
      </w:r>
      <w:r w:rsidR="00672E9F">
        <w:rPr>
          <w:spacing w:val="6"/>
          <w:sz w:val="26"/>
          <w:szCs w:val="26"/>
        </w:rPr>
        <w:fldChar w:fldCharType="end"/>
      </w:r>
      <w:bookmarkEnd w:id="75"/>
      <w:r w:rsidR="00007EDC">
        <w:rPr>
          <w:spacing w:val="6"/>
          <w:sz w:val="26"/>
          <w:szCs w:val="26"/>
        </w:rPr>
        <w:t xml:space="preserve"> (BOPA 27/06/2025)</w:t>
      </w:r>
      <w:r w:rsidR="007013DD">
        <w:rPr>
          <w:spacing w:val="6"/>
          <w:sz w:val="26"/>
          <w:szCs w:val="26"/>
        </w:rPr>
        <w:t xml:space="preserve"> con los siguientes requis</w:t>
      </w:r>
      <w:r w:rsidR="00902F6E">
        <w:rPr>
          <w:spacing w:val="6"/>
          <w:sz w:val="26"/>
          <w:szCs w:val="26"/>
        </w:rPr>
        <w:t>i</w:t>
      </w:r>
      <w:r w:rsidR="007013DD">
        <w:rPr>
          <w:spacing w:val="6"/>
          <w:sz w:val="26"/>
          <w:szCs w:val="26"/>
        </w:rPr>
        <w:t>tos</w:t>
      </w:r>
      <w:r w:rsidR="00996A51">
        <w:rPr>
          <w:spacing w:val="6"/>
          <w:sz w:val="26"/>
          <w:szCs w:val="26"/>
        </w:rPr>
        <w:t>:</w:t>
      </w:r>
    </w:p>
    <w:p w14:paraId="7B530C6A" w14:textId="77777777" w:rsidR="00996A51" w:rsidRDefault="00C501CC" w:rsidP="00C854F8">
      <w:pPr>
        <w:numPr>
          <w:ilvl w:val="0"/>
          <w:numId w:val="14"/>
        </w:numPr>
        <w:tabs>
          <w:tab w:val="clear" w:pos="1800"/>
          <w:tab w:val="num" w:pos="1440"/>
        </w:tabs>
        <w:spacing w:line="280" w:lineRule="atLeast"/>
        <w:jc w:val="both"/>
        <w:rPr>
          <w:spacing w:val="6"/>
          <w:sz w:val="26"/>
          <w:szCs w:val="26"/>
        </w:rPr>
      </w:pPr>
      <w:r>
        <w:rPr>
          <w:rFonts w:ascii="CG Times" w:hAnsi="CG Times"/>
          <w:sz w:val="26"/>
          <w:szCs w:val="26"/>
        </w:rPr>
        <w:t xml:space="preserve">Ha de habitarse en </w:t>
      </w:r>
      <w:r w:rsidR="00236204">
        <w:rPr>
          <w:rFonts w:ascii="CG Times" w:hAnsi="CG Times"/>
          <w:sz w:val="26"/>
          <w:szCs w:val="26"/>
        </w:rPr>
        <w:t>el plazo de 6 meses, salvo que precise de obras previas, en cuyo caso deberá habitarse en el plazo de 3 meses a contar desde su terminación y sin que la duración de tales obras pueda exceder de 1 año.</w:t>
      </w:r>
    </w:p>
    <w:p w14:paraId="3C103306" w14:textId="77777777" w:rsidR="00996A51" w:rsidRDefault="00902F6E" w:rsidP="00C854F8">
      <w:pPr>
        <w:numPr>
          <w:ilvl w:val="0"/>
          <w:numId w:val="14"/>
        </w:numPr>
        <w:tabs>
          <w:tab w:val="clear" w:pos="1800"/>
          <w:tab w:val="num" w:pos="1440"/>
        </w:tabs>
        <w:spacing w:line="280" w:lineRule="atLeast"/>
        <w:jc w:val="both"/>
        <w:rPr>
          <w:spacing w:val="6"/>
          <w:sz w:val="26"/>
          <w:szCs w:val="26"/>
        </w:rPr>
      </w:pPr>
      <w:r>
        <w:rPr>
          <w:spacing w:val="6"/>
          <w:sz w:val="26"/>
          <w:szCs w:val="26"/>
        </w:rPr>
        <w:t>Ha de constituir la</w:t>
      </w:r>
      <w:r w:rsidR="00996A51" w:rsidRPr="00902F6E">
        <w:rPr>
          <w:spacing w:val="6"/>
          <w:sz w:val="26"/>
          <w:szCs w:val="26"/>
        </w:rPr>
        <w:t xml:space="preserve"> residencia permanente durante un plazo continuado de 3 años.</w:t>
      </w:r>
    </w:p>
    <w:p w14:paraId="5482320A" w14:textId="77777777" w:rsidR="00E161B6" w:rsidRPr="007E312E" w:rsidRDefault="00E161B6" w:rsidP="00C854F8">
      <w:pPr>
        <w:numPr>
          <w:ilvl w:val="2"/>
          <w:numId w:val="15"/>
        </w:numPr>
        <w:tabs>
          <w:tab w:val="num" w:pos="2520"/>
        </w:tabs>
        <w:spacing w:line="280" w:lineRule="atLeast"/>
        <w:jc w:val="both"/>
        <w:rPr>
          <w:b/>
          <w:spacing w:val="6"/>
          <w:sz w:val="22"/>
          <w:szCs w:val="22"/>
        </w:rPr>
      </w:pPr>
      <w:r>
        <w:rPr>
          <w:b/>
          <w:spacing w:val="6"/>
          <w:sz w:val="26"/>
          <w:szCs w:val="26"/>
        </w:rPr>
        <w:t>Comentarios</w:t>
      </w:r>
    </w:p>
    <w:p w14:paraId="21C680B4" w14:textId="77777777" w:rsidR="00B36B49" w:rsidRDefault="00E161B6" w:rsidP="00340386">
      <w:pPr>
        <w:spacing w:line="280" w:lineRule="atLeast"/>
        <w:ind w:left="1440"/>
        <w:jc w:val="both"/>
        <w:rPr>
          <w:spacing w:val="6"/>
          <w:sz w:val="26"/>
          <w:szCs w:val="26"/>
        </w:rPr>
      </w:pPr>
      <w:r>
        <w:rPr>
          <w:spacing w:val="6"/>
          <w:sz w:val="26"/>
          <w:szCs w:val="26"/>
        </w:rPr>
        <w:t>L</w:t>
      </w:r>
      <w:r w:rsidR="002079AE">
        <w:rPr>
          <w:spacing w:val="6"/>
          <w:sz w:val="26"/>
          <w:szCs w:val="26"/>
        </w:rPr>
        <w:t xml:space="preserve">a </w:t>
      </w:r>
      <w:hyperlink r:id="rId147" w:history="1">
        <w:r w:rsidR="00D04E35" w:rsidRPr="00B91E3D">
          <w:rPr>
            <w:rStyle w:val="Hipervnculo"/>
            <w:rFonts w:ascii="CG Times" w:hAnsi="CG Times"/>
            <w:sz w:val="26"/>
            <w:szCs w:val="26"/>
            <w:lang w:val="es-ES"/>
          </w:rPr>
          <w:t>Ley 6/2021</w:t>
        </w:r>
      </w:hyperlink>
      <w:r w:rsidR="00D04E35">
        <w:rPr>
          <w:rFonts w:ascii="CG Times" w:hAnsi="CG Times"/>
          <w:sz w:val="26"/>
          <w:szCs w:val="26"/>
          <w:lang w:val="es-ES"/>
        </w:rPr>
        <w:t xml:space="preserve">, en vigor </w:t>
      </w:r>
      <w:r w:rsidR="00CD76EF">
        <w:rPr>
          <w:rFonts w:ascii="CG Times" w:hAnsi="CG Times"/>
          <w:sz w:val="26"/>
          <w:szCs w:val="26"/>
          <w:lang w:val="es-ES"/>
        </w:rPr>
        <w:t>de</w:t>
      </w:r>
      <w:r w:rsidR="00D04E35">
        <w:rPr>
          <w:rFonts w:ascii="CG Times" w:hAnsi="CG Times"/>
          <w:sz w:val="26"/>
          <w:szCs w:val="26"/>
          <w:lang w:val="es-ES"/>
        </w:rPr>
        <w:t xml:space="preserve">sde el 1 de enero de 2022, ya introdujo un </w:t>
      </w:r>
      <w:r w:rsidR="00D04E35">
        <w:rPr>
          <w:spacing w:val="6"/>
          <w:sz w:val="26"/>
          <w:szCs w:val="26"/>
        </w:rPr>
        <w:t xml:space="preserve"> tipo reducido del 6% en </w:t>
      </w:r>
      <w:r w:rsidR="00CF3D16">
        <w:rPr>
          <w:spacing w:val="6"/>
          <w:sz w:val="26"/>
          <w:szCs w:val="26"/>
        </w:rPr>
        <w:t xml:space="preserve">los mismos </w:t>
      </w:r>
      <w:r w:rsidR="00D04E35">
        <w:rPr>
          <w:spacing w:val="6"/>
          <w:sz w:val="26"/>
          <w:szCs w:val="26"/>
        </w:rPr>
        <w:t xml:space="preserve">supuestos, remitiéndose para la determinación de tales zonas a la </w:t>
      </w:r>
      <w:hyperlink r:id="rId148" w:history="1">
        <w:r w:rsidR="00D04E35" w:rsidRPr="00CE074A">
          <w:rPr>
            <w:rStyle w:val="Hipervnculo"/>
            <w:spacing w:val="6"/>
            <w:sz w:val="26"/>
            <w:szCs w:val="26"/>
          </w:rPr>
          <w:t>Resolución de la Consejería de Hacienda de 24 de noviembre de 2020</w:t>
        </w:r>
      </w:hyperlink>
      <w:r w:rsidR="00D04E35">
        <w:rPr>
          <w:spacing w:val="6"/>
          <w:sz w:val="26"/>
          <w:szCs w:val="26"/>
        </w:rPr>
        <w:t xml:space="preserve">; mientras que la </w:t>
      </w:r>
      <w:hyperlink r:id="rId149" w:history="1">
        <w:r w:rsidR="00D04E35" w:rsidRPr="003B6C0B">
          <w:rPr>
            <w:rStyle w:val="Hipervnculo"/>
            <w:rFonts w:ascii="CG Times" w:hAnsi="CG Times"/>
            <w:sz w:val="26"/>
            <w:szCs w:val="26"/>
            <w:lang w:val="es-ES"/>
          </w:rPr>
          <w:t>Ley 4/2023</w:t>
        </w:r>
      </w:hyperlink>
      <w:r w:rsidR="00D04E35">
        <w:rPr>
          <w:rFonts w:ascii="CG Times" w:hAnsi="CG Times"/>
          <w:sz w:val="26"/>
          <w:szCs w:val="26"/>
          <w:lang w:val="es-ES"/>
        </w:rPr>
        <w:t xml:space="preserve"> </w:t>
      </w:r>
      <w:r w:rsidR="00D04E35">
        <w:rPr>
          <w:spacing w:val="6"/>
          <w:sz w:val="26"/>
          <w:szCs w:val="26"/>
        </w:rPr>
        <w:t>habla</w:t>
      </w:r>
      <w:r w:rsidR="00147BC7">
        <w:rPr>
          <w:spacing w:val="6"/>
          <w:sz w:val="26"/>
          <w:szCs w:val="26"/>
        </w:rPr>
        <w:t>ba</w:t>
      </w:r>
      <w:r w:rsidR="00D04E35">
        <w:rPr>
          <w:spacing w:val="6"/>
          <w:sz w:val="26"/>
          <w:szCs w:val="26"/>
        </w:rPr>
        <w:t xml:space="preserve"> de que </w:t>
      </w:r>
      <w:r w:rsidR="00D04E35" w:rsidRPr="00D04E35">
        <w:rPr>
          <w:i/>
          <w:iCs/>
          <w:spacing w:val="6"/>
          <w:sz w:val="26"/>
          <w:szCs w:val="26"/>
        </w:rPr>
        <w:t>“... tendrán la consideración de concejos en riesgo de despoblación aquellos con una población de hasta 20.000 habitantes, siempre que la población se haya reducido al menos en un 10% desde el año 2.000...</w:t>
      </w:r>
      <w:r w:rsidR="00D04E35">
        <w:rPr>
          <w:spacing w:val="6"/>
          <w:sz w:val="26"/>
          <w:szCs w:val="26"/>
        </w:rPr>
        <w:t>”.</w:t>
      </w:r>
      <w:r w:rsidR="00147BC7">
        <w:rPr>
          <w:spacing w:val="6"/>
          <w:sz w:val="26"/>
          <w:szCs w:val="26"/>
        </w:rPr>
        <w:t xml:space="preserve"> La </w:t>
      </w:r>
      <w:bookmarkStart w:id="76" w:name="_Hlk218151973"/>
      <w:r w:rsidR="00147BC7">
        <w:rPr>
          <w:spacing w:val="6"/>
          <w:sz w:val="26"/>
          <w:szCs w:val="26"/>
        </w:rPr>
        <w:fldChar w:fldCharType="begin"/>
      </w:r>
      <w:r w:rsidR="00147BC7">
        <w:rPr>
          <w:spacing w:val="6"/>
          <w:sz w:val="26"/>
          <w:szCs w:val="26"/>
        </w:rPr>
        <w:instrText>HYPERLINK "chrome-extension://efaidnbmnnnibpcajpcglclefindmkaj/https:/miprincipado.asturias.es/bopa/2025/12/31/20251231Su1.pdf"</w:instrText>
      </w:r>
      <w:r w:rsidR="00147BC7">
        <w:rPr>
          <w:spacing w:val="6"/>
          <w:sz w:val="26"/>
          <w:szCs w:val="26"/>
        </w:rPr>
      </w:r>
      <w:r w:rsidR="00147BC7">
        <w:rPr>
          <w:spacing w:val="6"/>
          <w:sz w:val="26"/>
          <w:szCs w:val="26"/>
        </w:rPr>
        <w:fldChar w:fldCharType="separate"/>
      </w:r>
      <w:r w:rsidR="00147BC7" w:rsidRPr="00147BC7">
        <w:rPr>
          <w:rStyle w:val="Hipervnculo"/>
          <w:spacing w:val="6"/>
          <w:sz w:val="26"/>
          <w:szCs w:val="26"/>
        </w:rPr>
        <w:t>Ley 5/2025</w:t>
      </w:r>
      <w:r w:rsidR="00147BC7">
        <w:rPr>
          <w:spacing w:val="6"/>
          <w:sz w:val="26"/>
          <w:szCs w:val="26"/>
        </w:rPr>
        <w:fldChar w:fldCharType="end"/>
      </w:r>
      <w:bookmarkEnd w:id="76"/>
      <w:r w:rsidR="00147BC7">
        <w:rPr>
          <w:spacing w:val="6"/>
          <w:sz w:val="26"/>
          <w:szCs w:val="26"/>
        </w:rPr>
        <w:t xml:space="preserve"> habla de zonas rurales de concejos en riesgo de despoblamiento</w:t>
      </w:r>
      <w:r w:rsidR="00672E9F">
        <w:rPr>
          <w:spacing w:val="6"/>
          <w:sz w:val="26"/>
          <w:szCs w:val="26"/>
        </w:rPr>
        <w:t xml:space="preserve"> o en crisis demográfica</w:t>
      </w:r>
      <w:r w:rsidR="00147BC7">
        <w:rPr>
          <w:spacing w:val="6"/>
          <w:sz w:val="26"/>
          <w:szCs w:val="26"/>
        </w:rPr>
        <w:t xml:space="preserve">, remitiéndose al </w:t>
      </w:r>
      <w:hyperlink r:id="rId150" w:history="1">
        <w:r w:rsidR="00147BC7" w:rsidRPr="00672E9F">
          <w:rPr>
            <w:rStyle w:val="Hipervnculo"/>
            <w:spacing w:val="6"/>
            <w:sz w:val="26"/>
            <w:szCs w:val="26"/>
          </w:rPr>
          <w:t>Decreto 83/2025, de 23 de junio</w:t>
        </w:r>
      </w:hyperlink>
      <w:r w:rsidR="00147BC7">
        <w:rPr>
          <w:spacing w:val="6"/>
          <w:sz w:val="26"/>
          <w:szCs w:val="26"/>
        </w:rPr>
        <w:t>.</w:t>
      </w:r>
    </w:p>
    <w:p w14:paraId="57442F6A" w14:textId="77777777" w:rsidR="00B36B49" w:rsidRDefault="00340386" w:rsidP="00340386">
      <w:pPr>
        <w:spacing w:line="280" w:lineRule="atLeast"/>
        <w:ind w:left="1440"/>
        <w:jc w:val="both"/>
        <w:rPr>
          <w:spacing w:val="6"/>
          <w:sz w:val="26"/>
          <w:szCs w:val="26"/>
        </w:rPr>
      </w:pPr>
      <w:r>
        <w:rPr>
          <w:spacing w:val="6"/>
          <w:sz w:val="26"/>
          <w:szCs w:val="26"/>
        </w:rPr>
        <w:t>Figuran “en riesgo de despobla</w:t>
      </w:r>
      <w:r w:rsidR="00440157">
        <w:rPr>
          <w:spacing w:val="6"/>
          <w:sz w:val="26"/>
          <w:szCs w:val="26"/>
        </w:rPr>
        <w:t>miento</w:t>
      </w:r>
      <w:r>
        <w:rPr>
          <w:spacing w:val="6"/>
          <w:sz w:val="26"/>
          <w:szCs w:val="26"/>
        </w:rPr>
        <w:t xml:space="preserve">”: </w:t>
      </w:r>
      <w:r w:rsidRPr="00340386">
        <w:rPr>
          <w:spacing w:val="6"/>
          <w:sz w:val="26"/>
          <w:szCs w:val="26"/>
        </w:rPr>
        <w:t>Allande</w:t>
      </w:r>
      <w:r>
        <w:rPr>
          <w:spacing w:val="6"/>
          <w:sz w:val="26"/>
          <w:szCs w:val="26"/>
        </w:rPr>
        <w:t xml:space="preserve">,  </w:t>
      </w:r>
      <w:r w:rsidRPr="00340386">
        <w:rPr>
          <w:spacing w:val="6"/>
          <w:sz w:val="26"/>
          <w:szCs w:val="26"/>
        </w:rPr>
        <w:t>Aller</w:t>
      </w:r>
      <w:r>
        <w:rPr>
          <w:spacing w:val="6"/>
          <w:sz w:val="26"/>
          <w:szCs w:val="26"/>
        </w:rPr>
        <w:t xml:space="preserve">, </w:t>
      </w:r>
      <w:r w:rsidRPr="00340386">
        <w:rPr>
          <w:spacing w:val="6"/>
          <w:sz w:val="26"/>
          <w:szCs w:val="26"/>
        </w:rPr>
        <w:t>Amieva</w:t>
      </w:r>
      <w:r>
        <w:rPr>
          <w:spacing w:val="6"/>
          <w:sz w:val="26"/>
          <w:szCs w:val="26"/>
        </w:rPr>
        <w:t xml:space="preserve">, </w:t>
      </w:r>
      <w:r w:rsidRPr="00340386">
        <w:rPr>
          <w:spacing w:val="6"/>
          <w:sz w:val="26"/>
          <w:szCs w:val="26"/>
        </w:rPr>
        <w:t>Belmonte de Miranda</w:t>
      </w:r>
      <w:r>
        <w:rPr>
          <w:spacing w:val="6"/>
          <w:sz w:val="26"/>
          <w:szCs w:val="26"/>
        </w:rPr>
        <w:t xml:space="preserve">, </w:t>
      </w:r>
      <w:r w:rsidRPr="00340386">
        <w:rPr>
          <w:spacing w:val="6"/>
          <w:sz w:val="26"/>
          <w:szCs w:val="26"/>
        </w:rPr>
        <w:t>Boal</w:t>
      </w:r>
      <w:r>
        <w:rPr>
          <w:spacing w:val="6"/>
          <w:sz w:val="26"/>
          <w:szCs w:val="26"/>
        </w:rPr>
        <w:t xml:space="preserve">, </w:t>
      </w:r>
      <w:r w:rsidRPr="00340386">
        <w:rPr>
          <w:spacing w:val="6"/>
          <w:sz w:val="26"/>
          <w:szCs w:val="26"/>
        </w:rPr>
        <w:t>Caso</w:t>
      </w:r>
      <w:r>
        <w:rPr>
          <w:spacing w:val="6"/>
          <w:sz w:val="26"/>
          <w:szCs w:val="26"/>
        </w:rPr>
        <w:t xml:space="preserve">, </w:t>
      </w:r>
      <w:r w:rsidRPr="00340386">
        <w:rPr>
          <w:spacing w:val="6"/>
          <w:sz w:val="26"/>
          <w:szCs w:val="26"/>
        </w:rPr>
        <w:t>Colunga</w:t>
      </w:r>
      <w:r>
        <w:rPr>
          <w:spacing w:val="6"/>
          <w:sz w:val="26"/>
          <w:szCs w:val="26"/>
        </w:rPr>
        <w:t xml:space="preserve">, </w:t>
      </w:r>
      <w:r w:rsidRPr="00340386">
        <w:rPr>
          <w:spacing w:val="6"/>
          <w:sz w:val="26"/>
          <w:szCs w:val="26"/>
        </w:rPr>
        <w:t>Degaña</w:t>
      </w:r>
      <w:r>
        <w:rPr>
          <w:spacing w:val="6"/>
          <w:sz w:val="26"/>
          <w:szCs w:val="26"/>
        </w:rPr>
        <w:t xml:space="preserve">, </w:t>
      </w:r>
      <w:r w:rsidRPr="00340386">
        <w:rPr>
          <w:spacing w:val="6"/>
          <w:sz w:val="26"/>
          <w:szCs w:val="26"/>
        </w:rPr>
        <w:t>Grandas de Salime</w:t>
      </w:r>
      <w:r>
        <w:rPr>
          <w:spacing w:val="6"/>
          <w:sz w:val="26"/>
          <w:szCs w:val="26"/>
        </w:rPr>
        <w:t xml:space="preserve">, </w:t>
      </w:r>
      <w:r w:rsidRPr="00340386">
        <w:rPr>
          <w:spacing w:val="6"/>
          <w:sz w:val="26"/>
          <w:szCs w:val="26"/>
        </w:rPr>
        <w:t>Ibias</w:t>
      </w:r>
      <w:r>
        <w:rPr>
          <w:spacing w:val="6"/>
          <w:sz w:val="26"/>
          <w:szCs w:val="26"/>
        </w:rPr>
        <w:t xml:space="preserve">, </w:t>
      </w:r>
      <w:r w:rsidRPr="00340386">
        <w:rPr>
          <w:spacing w:val="6"/>
          <w:sz w:val="26"/>
          <w:szCs w:val="26"/>
        </w:rPr>
        <w:t>Illano</w:t>
      </w:r>
      <w:r>
        <w:rPr>
          <w:spacing w:val="6"/>
          <w:sz w:val="26"/>
          <w:szCs w:val="26"/>
        </w:rPr>
        <w:t xml:space="preserve">, </w:t>
      </w:r>
      <w:r w:rsidRPr="00340386">
        <w:rPr>
          <w:spacing w:val="6"/>
          <w:sz w:val="26"/>
          <w:szCs w:val="26"/>
        </w:rPr>
        <w:t>Pesoz</w:t>
      </w:r>
      <w:r>
        <w:rPr>
          <w:spacing w:val="6"/>
          <w:sz w:val="26"/>
          <w:szCs w:val="26"/>
        </w:rPr>
        <w:t xml:space="preserve">, </w:t>
      </w:r>
      <w:r w:rsidRPr="00340386">
        <w:rPr>
          <w:spacing w:val="6"/>
          <w:sz w:val="26"/>
          <w:szCs w:val="26"/>
        </w:rPr>
        <w:t>Ponga</w:t>
      </w:r>
      <w:r>
        <w:rPr>
          <w:spacing w:val="6"/>
          <w:sz w:val="26"/>
          <w:szCs w:val="26"/>
        </w:rPr>
        <w:t xml:space="preserve">, </w:t>
      </w:r>
      <w:r w:rsidRPr="00340386">
        <w:rPr>
          <w:spacing w:val="6"/>
          <w:sz w:val="26"/>
          <w:szCs w:val="26"/>
        </w:rPr>
        <w:t>Proaza</w:t>
      </w:r>
      <w:r>
        <w:rPr>
          <w:spacing w:val="6"/>
          <w:sz w:val="26"/>
          <w:szCs w:val="26"/>
        </w:rPr>
        <w:t xml:space="preserve">, </w:t>
      </w:r>
      <w:r w:rsidRPr="00340386">
        <w:rPr>
          <w:spacing w:val="6"/>
          <w:sz w:val="26"/>
          <w:szCs w:val="26"/>
        </w:rPr>
        <w:t>Riosa</w:t>
      </w:r>
      <w:r>
        <w:rPr>
          <w:spacing w:val="6"/>
          <w:sz w:val="26"/>
          <w:szCs w:val="26"/>
        </w:rPr>
        <w:t xml:space="preserve">, </w:t>
      </w:r>
      <w:r w:rsidRPr="00340386">
        <w:rPr>
          <w:spacing w:val="6"/>
          <w:sz w:val="26"/>
          <w:szCs w:val="26"/>
        </w:rPr>
        <w:t>San Martín de Oscos</w:t>
      </w:r>
      <w:r>
        <w:rPr>
          <w:spacing w:val="6"/>
          <w:sz w:val="26"/>
          <w:szCs w:val="26"/>
        </w:rPr>
        <w:t xml:space="preserve">, </w:t>
      </w:r>
      <w:r w:rsidRPr="00340386">
        <w:rPr>
          <w:spacing w:val="6"/>
          <w:sz w:val="26"/>
          <w:szCs w:val="26"/>
        </w:rPr>
        <w:t>Santa Eulalia de Oscos</w:t>
      </w:r>
      <w:r>
        <w:rPr>
          <w:spacing w:val="6"/>
          <w:sz w:val="26"/>
          <w:szCs w:val="26"/>
        </w:rPr>
        <w:t xml:space="preserve">, </w:t>
      </w:r>
      <w:r w:rsidRPr="00340386">
        <w:rPr>
          <w:spacing w:val="6"/>
          <w:sz w:val="26"/>
          <w:szCs w:val="26"/>
        </w:rPr>
        <w:t>Somiedo</w:t>
      </w:r>
      <w:r>
        <w:rPr>
          <w:spacing w:val="6"/>
          <w:sz w:val="26"/>
          <w:szCs w:val="26"/>
        </w:rPr>
        <w:t xml:space="preserve">, </w:t>
      </w:r>
      <w:r w:rsidRPr="00340386">
        <w:rPr>
          <w:spacing w:val="6"/>
          <w:sz w:val="26"/>
          <w:szCs w:val="26"/>
        </w:rPr>
        <w:t>Taramundi</w:t>
      </w:r>
      <w:r>
        <w:rPr>
          <w:spacing w:val="6"/>
          <w:sz w:val="26"/>
          <w:szCs w:val="26"/>
        </w:rPr>
        <w:t xml:space="preserve">, </w:t>
      </w:r>
      <w:r w:rsidRPr="00340386">
        <w:rPr>
          <w:spacing w:val="6"/>
          <w:sz w:val="26"/>
          <w:szCs w:val="26"/>
        </w:rPr>
        <w:t>Teverga</w:t>
      </w:r>
      <w:r>
        <w:rPr>
          <w:spacing w:val="6"/>
          <w:sz w:val="26"/>
          <w:szCs w:val="26"/>
        </w:rPr>
        <w:t xml:space="preserve">, </w:t>
      </w:r>
      <w:r w:rsidRPr="00340386">
        <w:rPr>
          <w:spacing w:val="6"/>
          <w:sz w:val="26"/>
          <w:szCs w:val="26"/>
        </w:rPr>
        <w:t>Tineo</w:t>
      </w:r>
      <w:r>
        <w:rPr>
          <w:spacing w:val="6"/>
          <w:sz w:val="26"/>
          <w:szCs w:val="26"/>
        </w:rPr>
        <w:t xml:space="preserve">, </w:t>
      </w:r>
      <w:r w:rsidRPr="00340386">
        <w:rPr>
          <w:spacing w:val="6"/>
          <w:sz w:val="26"/>
          <w:szCs w:val="26"/>
        </w:rPr>
        <w:t>Villanueva de Oscos</w:t>
      </w:r>
      <w:r>
        <w:rPr>
          <w:spacing w:val="6"/>
          <w:sz w:val="26"/>
          <w:szCs w:val="26"/>
        </w:rPr>
        <w:t xml:space="preserve"> y V</w:t>
      </w:r>
      <w:r w:rsidRPr="00340386">
        <w:rPr>
          <w:spacing w:val="6"/>
          <w:sz w:val="26"/>
          <w:szCs w:val="26"/>
        </w:rPr>
        <w:t>illayón</w:t>
      </w:r>
      <w:r w:rsidR="00B36B49">
        <w:rPr>
          <w:spacing w:val="6"/>
          <w:sz w:val="26"/>
          <w:szCs w:val="26"/>
        </w:rPr>
        <w:t>.</w:t>
      </w:r>
    </w:p>
    <w:p w14:paraId="6DDBCDEC" w14:textId="77777777" w:rsidR="002079AE" w:rsidRDefault="00B36B49" w:rsidP="00340386">
      <w:pPr>
        <w:spacing w:line="280" w:lineRule="atLeast"/>
        <w:ind w:left="1440"/>
        <w:jc w:val="both"/>
        <w:rPr>
          <w:spacing w:val="6"/>
          <w:sz w:val="26"/>
          <w:szCs w:val="26"/>
        </w:rPr>
      </w:pPr>
      <w:r>
        <w:rPr>
          <w:spacing w:val="6"/>
          <w:sz w:val="26"/>
          <w:szCs w:val="26"/>
        </w:rPr>
        <w:t>F</w:t>
      </w:r>
      <w:r w:rsidR="00340386">
        <w:rPr>
          <w:spacing w:val="6"/>
          <w:sz w:val="26"/>
          <w:szCs w:val="26"/>
        </w:rPr>
        <w:t xml:space="preserve">iguran como “en crisis demográfica”: </w:t>
      </w:r>
      <w:r w:rsidR="00340386" w:rsidRPr="00340386">
        <w:rPr>
          <w:spacing w:val="6"/>
          <w:sz w:val="26"/>
          <w:szCs w:val="26"/>
        </w:rPr>
        <w:t>Bimenes, Cabrales, Candamo, Cangas del Narcea, Castropol, Cudillero, Grado, Lena, Valdés, Mieres, Morcín, Nava, Onís, Parres, Peñamellera Alta, Peñamellera Baja, Piloña, Pravia, Quirós, Las Regueras, Ribadedeva, Ribadesella, Salas, San Martín del Rey Aurelio, San Tirso de Abres, Sobrescobio, Soto del Barco, Tapia de Casariego</w:t>
      </w:r>
      <w:r w:rsidR="00340386">
        <w:rPr>
          <w:spacing w:val="6"/>
          <w:sz w:val="26"/>
          <w:szCs w:val="26"/>
        </w:rPr>
        <w:t xml:space="preserve"> y</w:t>
      </w:r>
      <w:r w:rsidR="00340386" w:rsidRPr="00340386">
        <w:rPr>
          <w:spacing w:val="6"/>
          <w:sz w:val="26"/>
          <w:szCs w:val="26"/>
        </w:rPr>
        <w:t xml:space="preserve"> Yernes y Tameza</w:t>
      </w:r>
      <w:r w:rsidR="00340386">
        <w:rPr>
          <w:spacing w:val="6"/>
          <w:sz w:val="26"/>
          <w:szCs w:val="26"/>
        </w:rPr>
        <w:t>.</w:t>
      </w:r>
    </w:p>
    <w:p w14:paraId="2477BD77" w14:textId="77777777" w:rsidR="001B3BB7" w:rsidRDefault="001B3BB7" w:rsidP="002079AE">
      <w:pPr>
        <w:spacing w:line="280" w:lineRule="atLeast"/>
        <w:ind w:left="1440"/>
        <w:jc w:val="both"/>
        <w:rPr>
          <w:spacing w:val="6"/>
          <w:sz w:val="26"/>
          <w:szCs w:val="26"/>
        </w:rPr>
      </w:pPr>
      <w:r>
        <w:rPr>
          <w:spacing w:val="6"/>
          <w:sz w:val="26"/>
          <w:szCs w:val="26"/>
        </w:rPr>
        <w:t>Con lo cual antes se atendía al concejo entero y</w:t>
      </w:r>
      <w:r w:rsidR="0041561F">
        <w:rPr>
          <w:spacing w:val="6"/>
          <w:sz w:val="26"/>
          <w:szCs w:val="26"/>
        </w:rPr>
        <w:t>,</w:t>
      </w:r>
      <w:r>
        <w:rPr>
          <w:spacing w:val="6"/>
          <w:sz w:val="26"/>
          <w:szCs w:val="26"/>
        </w:rPr>
        <w:t xml:space="preserve"> desde el 1 de enero de 2026</w:t>
      </w:r>
      <w:r w:rsidR="0041561F">
        <w:rPr>
          <w:spacing w:val="6"/>
          <w:sz w:val="26"/>
          <w:szCs w:val="26"/>
        </w:rPr>
        <w:t>,</w:t>
      </w:r>
      <w:r>
        <w:rPr>
          <w:spacing w:val="6"/>
          <w:sz w:val="26"/>
          <w:szCs w:val="26"/>
        </w:rPr>
        <w:t xml:space="preserve"> </w:t>
      </w:r>
      <w:r w:rsidR="0041561F">
        <w:rPr>
          <w:spacing w:val="6"/>
          <w:sz w:val="26"/>
          <w:szCs w:val="26"/>
        </w:rPr>
        <w:t>podría entenderse que sólo</w:t>
      </w:r>
      <w:r w:rsidR="00672E9F">
        <w:rPr>
          <w:spacing w:val="6"/>
          <w:sz w:val="26"/>
          <w:szCs w:val="26"/>
        </w:rPr>
        <w:t xml:space="preserve"> </w:t>
      </w:r>
      <w:r>
        <w:rPr>
          <w:spacing w:val="6"/>
          <w:sz w:val="26"/>
          <w:szCs w:val="26"/>
        </w:rPr>
        <w:t>a la zona rural del concejo en riesgo de despobla</w:t>
      </w:r>
      <w:r w:rsidR="00B36B49">
        <w:rPr>
          <w:spacing w:val="6"/>
          <w:sz w:val="26"/>
          <w:szCs w:val="26"/>
        </w:rPr>
        <w:t>ción o en crisis demográfica</w:t>
      </w:r>
      <w:r>
        <w:rPr>
          <w:spacing w:val="6"/>
          <w:sz w:val="26"/>
          <w:szCs w:val="26"/>
        </w:rPr>
        <w:t>.</w:t>
      </w:r>
      <w:r w:rsidR="0041561F">
        <w:rPr>
          <w:spacing w:val="6"/>
          <w:sz w:val="26"/>
          <w:szCs w:val="26"/>
        </w:rPr>
        <w:t xml:space="preserve"> </w:t>
      </w:r>
      <w:r w:rsidR="005B774A">
        <w:rPr>
          <w:spacing w:val="6"/>
          <w:sz w:val="26"/>
          <w:szCs w:val="26"/>
        </w:rPr>
        <w:t>Según resulta de su Exposición de Motivos, n</w:t>
      </w:r>
      <w:r w:rsidR="0041561F">
        <w:rPr>
          <w:spacing w:val="6"/>
          <w:sz w:val="26"/>
          <w:szCs w:val="26"/>
        </w:rPr>
        <w:t>o parece que esta haya sido la intención de la reforma</w:t>
      </w:r>
      <w:r w:rsidR="005B774A">
        <w:rPr>
          <w:spacing w:val="6"/>
          <w:sz w:val="26"/>
          <w:szCs w:val="26"/>
        </w:rPr>
        <w:t xml:space="preserve"> por </w:t>
      </w:r>
      <w:hyperlink r:id="rId151" w:history="1">
        <w:r w:rsidR="005B774A" w:rsidRPr="00147BC7">
          <w:rPr>
            <w:rStyle w:val="Hipervnculo"/>
            <w:spacing w:val="6"/>
            <w:sz w:val="26"/>
            <w:szCs w:val="26"/>
          </w:rPr>
          <w:t>Ley 5/2025</w:t>
        </w:r>
      </w:hyperlink>
      <w:r w:rsidR="0041561F">
        <w:rPr>
          <w:spacing w:val="6"/>
          <w:sz w:val="26"/>
          <w:szCs w:val="26"/>
        </w:rPr>
        <w:t xml:space="preserve">, sino simplemente remitirse para tal determinación territorial al </w:t>
      </w:r>
      <w:hyperlink r:id="rId152" w:history="1">
        <w:r w:rsidR="0041561F" w:rsidRPr="00672E9F">
          <w:rPr>
            <w:rStyle w:val="Hipervnculo"/>
            <w:spacing w:val="6"/>
            <w:sz w:val="26"/>
            <w:szCs w:val="26"/>
          </w:rPr>
          <w:t>Decreto 83/2025</w:t>
        </w:r>
      </w:hyperlink>
      <w:r w:rsidR="005B774A">
        <w:rPr>
          <w:spacing w:val="6"/>
          <w:sz w:val="26"/>
          <w:szCs w:val="26"/>
        </w:rPr>
        <w:t>.</w:t>
      </w:r>
    </w:p>
    <w:p w14:paraId="20AC32E8" w14:textId="77777777" w:rsidR="00904C5B" w:rsidRPr="00CE7464" w:rsidRDefault="00CE7464" w:rsidP="00CE7464">
      <w:pPr>
        <w:spacing w:line="280" w:lineRule="atLeast"/>
        <w:ind w:left="1440"/>
        <w:jc w:val="both"/>
        <w:rPr>
          <w:spacing w:val="6"/>
          <w:sz w:val="26"/>
          <w:szCs w:val="26"/>
        </w:rPr>
      </w:pPr>
      <w:bookmarkStart w:id="77" w:name="_Hlk185146953"/>
      <w:r>
        <w:rPr>
          <w:spacing w:val="6"/>
          <w:sz w:val="26"/>
          <w:szCs w:val="26"/>
        </w:rPr>
        <w:t>Ver también los comentarios del apartado siguiente en cuanto fueren también aplicables a este benefi</w:t>
      </w:r>
      <w:r w:rsidR="00442C4B">
        <w:rPr>
          <w:spacing w:val="6"/>
          <w:sz w:val="26"/>
          <w:szCs w:val="26"/>
        </w:rPr>
        <w:t>c</w:t>
      </w:r>
      <w:r>
        <w:rPr>
          <w:spacing w:val="6"/>
          <w:sz w:val="26"/>
          <w:szCs w:val="26"/>
        </w:rPr>
        <w:t>io fiscal.</w:t>
      </w:r>
      <w:bookmarkStart w:id="78" w:name="_Hlk159314747"/>
      <w:bookmarkStart w:id="79" w:name="_Hlk159316404"/>
    </w:p>
    <w:p w14:paraId="0929BC5C" w14:textId="77777777" w:rsidR="00FC0527" w:rsidRDefault="00FC0527" w:rsidP="00C854F8">
      <w:pPr>
        <w:numPr>
          <w:ilvl w:val="2"/>
          <w:numId w:val="15"/>
        </w:numPr>
        <w:tabs>
          <w:tab w:val="num" w:pos="2520"/>
        </w:tabs>
        <w:spacing w:line="280" w:lineRule="atLeast"/>
        <w:jc w:val="both"/>
        <w:rPr>
          <w:b/>
          <w:spacing w:val="6"/>
          <w:sz w:val="22"/>
          <w:szCs w:val="22"/>
        </w:rPr>
      </w:pPr>
      <w:bookmarkStart w:id="80" w:name="tzonadespoblada"/>
      <w:bookmarkEnd w:id="77"/>
      <w:bookmarkEnd w:id="78"/>
      <w:bookmarkEnd w:id="79"/>
      <w:bookmarkEnd w:id="80"/>
      <w:r>
        <w:rPr>
          <w:b/>
          <w:spacing w:val="6"/>
          <w:sz w:val="26"/>
          <w:szCs w:val="26"/>
        </w:rPr>
        <w:t>Tratamiento notarial</w:t>
      </w:r>
    </w:p>
    <w:p w14:paraId="212BD33D" w14:textId="77777777" w:rsidR="005669C4" w:rsidRPr="005669C4" w:rsidRDefault="003C0469" w:rsidP="00C854F8">
      <w:pPr>
        <w:numPr>
          <w:ilvl w:val="0"/>
          <w:numId w:val="34"/>
        </w:numPr>
        <w:spacing w:line="280" w:lineRule="atLeast"/>
        <w:jc w:val="both"/>
        <w:rPr>
          <w:spacing w:val="6"/>
          <w:sz w:val="26"/>
          <w:szCs w:val="26"/>
          <w:u w:val="single"/>
        </w:rPr>
      </w:pPr>
      <w:r>
        <w:rPr>
          <w:rFonts w:ascii="CG Times" w:hAnsi="CG Times"/>
          <w:sz w:val="26"/>
          <w:szCs w:val="26"/>
        </w:rPr>
        <w:t>Incluir la sigui</w:t>
      </w:r>
      <w:r w:rsidR="005669C4">
        <w:rPr>
          <w:rFonts w:ascii="CG Times" w:hAnsi="CG Times"/>
          <w:sz w:val="26"/>
          <w:szCs w:val="26"/>
        </w:rPr>
        <w:t>ente cláusula en la Exposición:</w:t>
      </w:r>
    </w:p>
    <w:p w14:paraId="29539F62" w14:textId="77777777" w:rsidR="003C0469" w:rsidRPr="00C7515A" w:rsidRDefault="003C0469" w:rsidP="005669C4">
      <w:pPr>
        <w:spacing w:line="280" w:lineRule="atLeast"/>
        <w:ind w:left="1800"/>
        <w:jc w:val="both"/>
        <w:rPr>
          <w:spacing w:val="6"/>
          <w:sz w:val="26"/>
          <w:szCs w:val="26"/>
          <w:u w:val="single"/>
        </w:rPr>
      </w:pPr>
      <w:r w:rsidRPr="00C7515A">
        <w:rPr>
          <w:rFonts w:ascii="CG Times" w:hAnsi="CG Times"/>
          <w:b/>
          <w:sz w:val="26"/>
          <w:szCs w:val="26"/>
        </w:rPr>
        <w:t>E) Declaraciones fiscales.-</w:t>
      </w:r>
      <w:r w:rsidRPr="00C7515A">
        <w:rPr>
          <w:rFonts w:ascii="CG Times" w:hAnsi="CG Times"/>
          <w:sz w:val="26"/>
          <w:szCs w:val="26"/>
        </w:rPr>
        <w:t xml:space="preserve"> </w:t>
      </w:r>
      <w:bookmarkStart w:id="81" w:name="_Hlk160727403"/>
      <w:r w:rsidRPr="00C7515A">
        <w:rPr>
          <w:rFonts w:ascii="CG Times" w:hAnsi="CG Times"/>
          <w:sz w:val="26"/>
          <w:szCs w:val="26"/>
        </w:rPr>
        <w:t xml:space="preserve">A los efectos previstos en el </w:t>
      </w:r>
      <w:r w:rsidRPr="00B6394D">
        <w:rPr>
          <w:rFonts w:ascii="Times New Roman" w:hAnsi="Times New Roman"/>
          <w:sz w:val="26"/>
          <w:szCs w:val="26"/>
          <w:lang w:val="es-ES"/>
        </w:rPr>
        <w:t>art. 32 bis del Decreto-legislativo asturiano 2/2014</w:t>
      </w:r>
      <w:r w:rsidRPr="00C7515A">
        <w:rPr>
          <w:rFonts w:ascii="CG Times" w:hAnsi="CG Times"/>
          <w:sz w:val="26"/>
          <w:szCs w:val="26"/>
        </w:rPr>
        <w:t xml:space="preserve">, el/la/los adquirente/s *** manifiesta/n que le/s es de aplicación el tipo </w:t>
      </w:r>
      <w:r w:rsidRPr="00C7515A">
        <w:rPr>
          <w:rFonts w:ascii="CG Times" w:hAnsi="CG Times"/>
          <w:sz w:val="26"/>
          <w:szCs w:val="26"/>
        </w:rPr>
        <w:lastRenderedPageBreak/>
        <w:t>reducido en el Impuesto sobre Transmisio</w:t>
      </w:r>
      <w:r>
        <w:rPr>
          <w:rFonts w:ascii="CG Times" w:hAnsi="CG Times"/>
          <w:sz w:val="26"/>
          <w:szCs w:val="26"/>
        </w:rPr>
        <w:t xml:space="preserve">nes Patrimoniales Onerosas del </w:t>
      </w:r>
      <w:r w:rsidR="00CF3D16">
        <w:rPr>
          <w:rFonts w:ascii="CG Times" w:hAnsi="CG Times"/>
          <w:sz w:val="26"/>
          <w:szCs w:val="26"/>
        </w:rPr>
        <w:t xml:space="preserve">4% (para valores hasta 150.000 €) y del </w:t>
      </w:r>
      <w:r>
        <w:rPr>
          <w:rFonts w:ascii="CG Times" w:hAnsi="CG Times"/>
          <w:sz w:val="26"/>
          <w:szCs w:val="26"/>
        </w:rPr>
        <w:t>6</w:t>
      </w:r>
      <w:r w:rsidRPr="00C7515A">
        <w:rPr>
          <w:rFonts w:ascii="CG Times" w:hAnsi="CG Times"/>
          <w:sz w:val="26"/>
          <w:szCs w:val="26"/>
        </w:rPr>
        <w:t>%</w:t>
      </w:r>
      <w:r w:rsidR="00CF3D16">
        <w:rPr>
          <w:rFonts w:ascii="CG Times" w:hAnsi="CG Times"/>
          <w:sz w:val="26"/>
          <w:szCs w:val="26"/>
        </w:rPr>
        <w:t xml:space="preserve"> (para valores de más de 150.000 €)</w:t>
      </w:r>
      <w:r w:rsidRPr="00C7515A">
        <w:rPr>
          <w:rFonts w:ascii="CG Times" w:hAnsi="CG Times"/>
          <w:sz w:val="26"/>
          <w:szCs w:val="26"/>
        </w:rPr>
        <w:t>, pues:</w:t>
      </w:r>
    </w:p>
    <w:p w14:paraId="08162C60" w14:textId="77777777" w:rsidR="003C0469" w:rsidRDefault="000F3F41" w:rsidP="003C0469">
      <w:pPr>
        <w:ind w:left="1800"/>
        <w:jc w:val="both"/>
        <w:rPr>
          <w:rFonts w:ascii="CG Times" w:hAnsi="CG Times"/>
          <w:sz w:val="26"/>
          <w:szCs w:val="26"/>
        </w:rPr>
      </w:pPr>
      <w:r>
        <w:rPr>
          <w:rFonts w:ascii="CG Times" w:hAnsi="CG Times"/>
          <w:sz w:val="26"/>
          <w:szCs w:val="26"/>
        </w:rPr>
        <w:t>- La vivienda adquirida está</w:t>
      </w:r>
      <w:r w:rsidR="003C0469">
        <w:rPr>
          <w:rFonts w:ascii="CG Times" w:hAnsi="CG Times"/>
          <w:sz w:val="26"/>
          <w:szCs w:val="26"/>
        </w:rPr>
        <w:t xml:space="preserve"> </w:t>
      </w:r>
      <w:r>
        <w:rPr>
          <w:spacing w:val="6"/>
          <w:sz w:val="26"/>
          <w:szCs w:val="26"/>
        </w:rPr>
        <w:t>situada en zona rural</w:t>
      </w:r>
      <w:r w:rsidR="005B5643">
        <w:rPr>
          <w:spacing w:val="6"/>
          <w:sz w:val="26"/>
          <w:szCs w:val="26"/>
        </w:rPr>
        <w:t xml:space="preserve"> de concejo</w:t>
      </w:r>
      <w:r>
        <w:rPr>
          <w:spacing w:val="6"/>
          <w:sz w:val="26"/>
          <w:szCs w:val="26"/>
        </w:rPr>
        <w:t xml:space="preserve"> en riesgo de</w:t>
      </w:r>
      <w:r w:rsidR="00CC0D3F">
        <w:rPr>
          <w:spacing w:val="6"/>
          <w:sz w:val="26"/>
          <w:szCs w:val="26"/>
        </w:rPr>
        <w:t xml:space="preserve"> despobla</w:t>
      </w:r>
      <w:r w:rsidR="005B5643">
        <w:rPr>
          <w:spacing w:val="6"/>
          <w:sz w:val="26"/>
          <w:szCs w:val="26"/>
        </w:rPr>
        <w:t>miento</w:t>
      </w:r>
      <w:r w:rsidR="003C0469">
        <w:rPr>
          <w:rFonts w:ascii="CG Times" w:hAnsi="CG Times"/>
          <w:sz w:val="26"/>
          <w:szCs w:val="26"/>
        </w:rPr>
        <w:t>.</w:t>
      </w:r>
    </w:p>
    <w:p w14:paraId="55B11413" w14:textId="77777777" w:rsidR="003C0469" w:rsidRDefault="003C0469" w:rsidP="003C0469">
      <w:pPr>
        <w:ind w:left="1800"/>
        <w:jc w:val="both"/>
        <w:rPr>
          <w:rFonts w:ascii="CG Times" w:hAnsi="CG Times"/>
          <w:sz w:val="26"/>
          <w:szCs w:val="26"/>
        </w:rPr>
      </w:pPr>
      <w:r>
        <w:rPr>
          <w:rFonts w:ascii="CG Times" w:hAnsi="CG Times"/>
          <w:sz w:val="26"/>
          <w:szCs w:val="26"/>
        </w:rPr>
        <w:t>- La vivienda adquirida se destinará a su residencia permanente en el plazo de 6 meses y durante al menos 3 años, con las excepciones legalmente previstas</w:t>
      </w:r>
      <w:r>
        <w:rPr>
          <w:rFonts w:ascii="CG Times" w:hAnsi="CG Times"/>
          <w:sz w:val="26"/>
          <w:szCs w:val="26"/>
          <w:lang w:val="es-ES"/>
        </w:rPr>
        <w:t>.</w:t>
      </w:r>
      <w:r w:rsidR="000F3F41">
        <w:rPr>
          <w:rFonts w:ascii="CG Times" w:hAnsi="CG Times"/>
          <w:sz w:val="26"/>
          <w:szCs w:val="26"/>
          <w:lang w:val="es-ES"/>
        </w:rPr>
        <w:t xml:space="preserve"> Entre tales excepciones figura la necesidad</w:t>
      </w:r>
      <w:r w:rsidR="000F3F41">
        <w:rPr>
          <w:rFonts w:ascii="CG Times" w:hAnsi="CG Times"/>
          <w:sz w:val="26"/>
          <w:szCs w:val="26"/>
        </w:rPr>
        <w:t xml:space="preserve"> de obras previas, en cuyo caso deberá habitarse en el plazo de 3 meses a contar desde su terminación y sin que la duración de tales obras pueda exceder de 1 año.</w:t>
      </w:r>
    </w:p>
    <w:p w14:paraId="055BF566" w14:textId="77777777" w:rsidR="009310CE" w:rsidRPr="002F52A4" w:rsidRDefault="009310CE" w:rsidP="002C289C">
      <w:pPr>
        <w:ind w:left="1797"/>
        <w:jc w:val="both"/>
        <w:rPr>
          <w:rFonts w:ascii="CG Times" w:hAnsi="CG Times"/>
          <w:color w:val="000000" w:themeColor="text1"/>
          <w:sz w:val="26"/>
          <w:szCs w:val="26"/>
        </w:rPr>
      </w:pPr>
      <w:r w:rsidRPr="002F52A4">
        <w:rPr>
          <w:rFonts w:ascii="CG Times" w:hAnsi="CG Times"/>
          <w:color w:val="000000" w:themeColor="text1"/>
          <w:sz w:val="26"/>
          <w:szCs w:val="26"/>
        </w:rPr>
        <w:t xml:space="preserve">*** Manifiesta/n también que, aunque el valor total excede de 150.000 €, el tipo reducido del 4% se aplica a todo lo adquirido por no exceder la vivienda de dicho límite y constituir los garajes/trastero </w:t>
      </w:r>
      <w:proofErr w:type="spellStart"/>
      <w:r w:rsidRPr="002F52A4">
        <w:rPr>
          <w:rFonts w:ascii="CG Times" w:hAnsi="CG Times"/>
          <w:color w:val="000000" w:themeColor="text1"/>
          <w:sz w:val="26"/>
          <w:szCs w:val="26"/>
        </w:rPr>
        <w:t>ectidades</w:t>
      </w:r>
      <w:proofErr w:type="spellEnd"/>
      <w:r w:rsidRPr="002F52A4">
        <w:rPr>
          <w:rFonts w:ascii="CG Times" w:hAnsi="CG Times"/>
          <w:color w:val="000000" w:themeColor="text1"/>
          <w:sz w:val="26"/>
          <w:szCs w:val="26"/>
        </w:rPr>
        <w:t xml:space="preserve"> catastrales independientes, según interpretación facilitada por el organismo correspondiente, de cuya mutabilidad les advierto.</w:t>
      </w:r>
    </w:p>
    <w:bookmarkEnd w:id="81"/>
    <w:p w14:paraId="33E1EB06" w14:textId="77777777" w:rsidR="00851676" w:rsidRDefault="003C0469" w:rsidP="002C289C">
      <w:pPr>
        <w:numPr>
          <w:ilvl w:val="0"/>
          <w:numId w:val="33"/>
        </w:numPr>
        <w:spacing w:after="60"/>
        <w:ind w:left="1797" w:hanging="357"/>
        <w:jc w:val="both"/>
        <w:rPr>
          <w:rFonts w:ascii="CG Times" w:hAnsi="CG Times"/>
          <w:sz w:val="26"/>
          <w:szCs w:val="26"/>
          <w:lang w:val="es-ES"/>
        </w:rPr>
      </w:pPr>
      <w:r>
        <w:rPr>
          <w:rFonts w:ascii="CG Times" w:hAnsi="CG Times"/>
          <w:sz w:val="26"/>
          <w:szCs w:val="26"/>
          <w:lang w:val="es-ES"/>
        </w:rPr>
        <w:t>Informar de la deducción de</w:t>
      </w:r>
      <w:r w:rsidR="00851676">
        <w:rPr>
          <w:rFonts w:ascii="CG Times" w:hAnsi="CG Times"/>
          <w:sz w:val="26"/>
          <w:szCs w:val="26"/>
          <w:lang w:val="es-ES"/>
        </w:rPr>
        <w:t>l 5%</w:t>
      </w:r>
      <w:r>
        <w:rPr>
          <w:rFonts w:ascii="CG Times" w:hAnsi="CG Times"/>
          <w:sz w:val="26"/>
          <w:szCs w:val="26"/>
          <w:lang w:val="es-ES"/>
        </w:rPr>
        <w:t xml:space="preserve"> en el IRPF</w:t>
      </w:r>
      <w:r w:rsidR="001757DE">
        <w:rPr>
          <w:rFonts w:ascii="CG Times" w:hAnsi="CG Times"/>
          <w:sz w:val="26"/>
          <w:szCs w:val="26"/>
          <w:lang w:val="es-ES"/>
        </w:rPr>
        <w:t>, prevista en el art. 14 decies,</w:t>
      </w:r>
      <w:r>
        <w:rPr>
          <w:rFonts w:ascii="CG Times" w:hAnsi="CG Times"/>
          <w:sz w:val="26"/>
          <w:szCs w:val="26"/>
          <w:lang w:val="es-ES"/>
        </w:rPr>
        <w:t xml:space="preserve"> por inversión (adquisición o rehabilitación) en vivienda habitual</w:t>
      </w:r>
      <w:r w:rsidR="00851676">
        <w:rPr>
          <w:rFonts w:ascii="CG Times" w:hAnsi="CG Times"/>
          <w:sz w:val="26"/>
          <w:szCs w:val="26"/>
          <w:lang w:val="es-ES"/>
        </w:rPr>
        <w:t xml:space="preserve"> en zona despoblada</w:t>
      </w:r>
      <w:r>
        <w:rPr>
          <w:rFonts w:ascii="CG Times" w:hAnsi="CG Times"/>
          <w:sz w:val="26"/>
          <w:szCs w:val="26"/>
          <w:lang w:val="es-ES"/>
        </w:rPr>
        <w:t xml:space="preserve"> </w:t>
      </w:r>
      <w:r w:rsidR="0017585B">
        <w:rPr>
          <w:rFonts w:ascii="CG Times" w:hAnsi="CG Times"/>
          <w:sz w:val="26"/>
          <w:szCs w:val="26"/>
          <w:lang w:val="es-ES"/>
        </w:rPr>
        <w:t xml:space="preserve">por </w:t>
      </w:r>
      <w:r w:rsidR="00851676" w:rsidRPr="00851676">
        <w:rPr>
          <w:rFonts w:ascii="CG Times" w:hAnsi="CG Times"/>
          <w:sz w:val="26"/>
          <w:szCs w:val="26"/>
          <w:lang w:val="es-ES"/>
        </w:rPr>
        <w:t>las cantidades satisfechas durante el ejercicio en concepto de adquisición o rehabilitación de la citada vivienda</w:t>
      </w:r>
      <w:r w:rsidR="00DF6090">
        <w:rPr>
          <w:rFonts w:ascii="CG Times" w:hAnsi="CG Times"/>
          <w:sz w:val="26"/>
          <w:szCs w:val="26"/>
          <w:lang w:val="es-ES"/>
        </w:rPr>
        <w:t>, incluyendo la amortización de préstamos hipotecarios</w:t>
      </w:r>
      <w:r w:rsidR="0017585B">
        <w:rPr>
          <w:rFonts w:ascii="CG Times" w:hAnsi="CG Times"/>
          <w:sz w:val="26"/>
          <w:szCs w:val="26"/>
          <w:lang w:val="es-ES"/>
        </w:rPr>
        <w:t>. La deducción será del 10% para menores de 35 años y miembros de familias numerosas o monoparentales.</w:t>
      </w:r>
    </w:p>
    <w:p w14:paraId="7D021C05" w14:textId="77777777" w:rsidR="00F81A1C" w:rsidRPr="0041561F" w:rsidRDefault="00F81A1C" w:rsidP="00C854F8">
      <w:pPr>
        <w:numPr>
          <w:ilvl w:val="1"/>
          <w:numId w:val="15"/>
        </w:numPr>
        <w:tabs>
          <w:tab w:val="num" w:pos="1440"/>
          <w:tab w:val="num" w:pos="2520"/>
        </w:tabs>
        <w:spacing w:line="280" w:lineRule="atLeast"/>
        <w:jc w:val="both"/>
        <w:rPr>
          <w:b/>
          <w:spacing w:val="6"/>
          <w:sz w:val="26"/>
          <w:szCs w:val="26"/>
        </w:rPr>
      </w:pPr>
      <w:bookmarkStart w:id="82" w:name="joven"/>
      <w:bookmarkStart w:id="83" w:name="_Hlk155529668"/>
      <w:bookmarkEnd w:id="82"/>
      <w:r w:rsidRPr="00015278">
        <w:rPr>
          <w:b/>
          <w:spacing w:val="6"/>
          <w:sz w:val="26"/>
          <w:szCs w:val="26"/>
        </w:rPr>
        <w:t xml:space="preserve">Tipo reducido del </w:t>
      </w:r>
      <w:r>
        <w:rPr>
          <w:b/>
          <w:spacing w:val="6"/>
          <w:sz w:val="26"/>
          <w:szCs w:val="26"/>
        </w:rPr>
        <w:t xml:space="preserve">4% (hasta 150.000 €) o del </w:t>
      </w:r>
      <w:r w:rsidRPr="00015278">
        <w:rPr>
          <w:b/>
          <w:spacing w:val="6"/>
          <w:sz w:val="26"/>
          <w:szCs w:val="26"/>
        </w:rPr>
        <w:t>6%</w:t>
      </w:r>
      <w:r>
        <w:rPr>
          <w:b/>
          <w:spacing w:val="6"/>
          <w:sz w:val="26"/>
          <w:szCs w:val="26"/>
        </w:rPr>
        <w:t xml:space="preserve"> (más de 150.000 €)</w:t>
      </w:r>
      <w:r w:rsidRPr="00015278">
        <w:rPr>
          <w:b/>
          <w:spacing w:val="6"/>
          <w:sz w:val="26"/>
          <w:szCs w:val="26"/>
        </w:rPr>
        <w:t xml:space="preserve"> en TPO por vivienda habitual</w:t>
      </w:r>
      <w:r>
        <w:rPr>
          <w:b/>
          <w:spacing w:val="6"/>
          <w:sz w:val="26"/>
          <w:szCs w:val="26"/>
        </w:rPr>
        <w:t xml:space="preserve"> para jóvenes hasta 35 años, familias numerosas y mujeres víctimas de violencia de género </w:t>
      </w:r>
      <w:r w:rsidRPr="0041561F">
        <w:rPr>
          <w:b/>
          <w:spacing w:val="6"/>
          <w:sz w:val="26"/>
          <w:szCs w:val="26"/>
        </w:rPr>
        <w:t>(desde 01/01/2024)</w:t>
      </w:r>
      <w:r w:rsidR="00F16F7D" w:rsidRPr="0041561F">
        <w:rPr>
          <w:b/>
          <w:spacing w:val="6"/>
          <w:sz w:val="26"/>
          <w:szCs w:val="26"/>
        </w:rPr>
        <w:t>, así como familias monoparentales (desde 01/01/025)</w:t>
      </w:r>
    </w:p>
    <w:bookmarkEnd w:id="83"/>
    <w:p w14:paraId="54F9D9A9" w14:textId="77777777" w:rsidR="00F81A1C" w:rsidRPr="007E312E" w:rsidRDefault="00F81A1C" w:rsidP="00C854F8">
      <w:pPr>
        <w:numPr>
          <w:ilvl w:val="2"/>
          <w:numId w:val="15"/>
        </w:numPr>
        <w:tabs>
          <w:tab w:val="num" w:pos="2520"/>
        </w:tabs>
        <w:spacing w:line="280" w:lineRule="atLeast"/>
        <w:jc w:val="both"/>
        <w:rPr>
          <w:b/>
          <w:spacing w:val="6"/>
          <w:sz w:val="22"/>
          <w:szCs w:val="22"/>
        </w:rPr>
      </w:pPr>
      <w:r>
        <w:rPr>
          <w:b/>
          <w:spacing w:val="6"/>
          <w:sz w:val="26"/>
          <w:szCs w:val="26"/>
        </w:rPr>
        <w:t>Normativa vigente</w:t>
      </w:r>
    </w:p>
    <w:p w14:paraId="10200D54" w14:textId="77777777" w:rsidR="00F81A1C" w:rsidRPr="00996A51" w:rsidRDefault="00F81A1C" w:rsidP="00F81A1C">
      <w:pPr>
        <w:tabs>
          <w:tab w:val="num" w:pos="2520"/>
        </w:tabs>
        <w:spacing w:line="280" w:lineRule="atLeast"/>
        <w:ind w:left="1440"/>
        <w:jc w:val="both"/>
        <w:rPr>
          <w:rFonts w:ascii="Times New Roman" w:hAnsi="Times New Roman"/>
          <w:sz w:val="26"/>
          <w:szCs w:val="26"/>
          <w:lang w:val="es-ES"/>
        </w:rPr>
      </w:pPr>
      <w:hyperlink r:id="rId153" w:anchor="a32b" w:history="1">
        <w:r w:rsidRPr="0065590D">
          <w:rPr>
            <w:rStyle w:val="Hipervnculo"/>
            <w:rFonts w:ascii="Times New Roman" w:hAnsi="Times New Roman"/>
            <w:sz w:val="26"/>
            <w:szCs w:val="26"/>
            <w:lang w:val="es-ES"/>
          </w:rPr>
          <w:t>Art. 32 bis del Decreto-legislativo asturiano 2/2014</w:t>
        </w:r>
      </w:hyperlink>
      <w:r>
        <w:rPr>
          <w:rFonts w:ascii="Times New Roman" w:hAnsi="Times New Roman"/>
          <w:sz w:val="26"/>
          <w:szCs w:val="26"/>
          <w:lang w:val="es-ES"/>
        </w:rPr>
        <w:t xml:space="preserve"> (tras la reforma por </w:t>
      </w:r>
      <w:hyperlink r:id="rId154" w:history="1">
        <w:r w:rsidRPr="003B6C0B">
          <w:rPr>
            <w:rStyle w:val="Hipervnculo"/>
            <w:rFonts w:ascii="CG Times" w:hAnsi="CG Times"/>
            <w:sz w:val="26"/>
            <w:szCs w:val="26"/>
            <w:lang w:val="es-ES"/>
          </w:rPr>
          <w:t>Ley 4/2023</w:t>
        </w:r>
      </w:hyperlink>
      <w:r>
        <w:rPr>
          <w:rFonts w:ascii="Times New Roman" w:hAnsi="Times New Roman"/>
          <w:sz w:val="26"/>
          <w:szCs w:val="26"/>
          <w:lang w:val="es-ES"/>
        </w:rPr>
        <w:t>, en vigor desde el 1 de enero de 2024</w:t>
      </w:r>
      <w:r w:rsidR="002E0EAB">
        <w:rPr>
          <w:rFonts w:ascii="Times New Roman" w:hAnsi="Times New Roman"/>
          <w:sz w:val="26"/>
          <w:szCs w:val="26"/>
          <w:lang w:val="es-ES"/>
        </w:rPr>
        <w:t xml:space="preserve">, y la reforma por </w:t>
      </w:r>
      <w:hyperlink r:id="rId155" w:history="1">
        <w:r w:rsidR="002E0EAB" w:rsidRPr="002E0EAB">
          <w:rPr>
            <w:rStyle w:val="Hipervnculo"/>
            <w:rFonts w:ascii="Times New Roman" w:hAnsi="Times New Roman"/>
            <w:sz w:val="26"/>
            <w:szCs w:val="26"/>
            <w:lang w:val="es-ES"/>
          </w:rPr>
          <w:t>Ley 8/2024</w:t>
        </w:r>
      </w:hyperlink>
      <w:r w:rsidR="002E0EAB">
        <w:rPr>
          <w:rFonts w:ascii="Times New Roman" w:hAnsi="Times New Roman"/>
          <w:sz w:val="26"/>
          <w:szCs w:val="26"/>
          <w:lang w:val="es-ES"/>
        </w:rPr>
        <w:t>, en vigor desde el 1 de enero de 2025</w:t>
      </w:r>
      <w:r>
        <w:rPr>
          <w:rFonts w:ascii="Times New Roman" w:hAnsi="Times New Roman"/>
          <w:sz w:val="26"/>
          <w:szCs w:val="26"/>
          <w:lang w:val="es-ES"/>
        </w:rPr>
        <w:t xml:space="preserve">): </w:t>
      </w:r>
      <w:r>
        <w:rPr>
          <w:spacing w:val="6"/>
          <w:sz w:val="26"/>
          <w:szCs w:val="26"/>
        </w:rPr>
        <w:t xml:space="preserve">Tipo reducido del 4% (para valores hasta 150.000 €) o del 6% (para valores </w:t>
      </w:r>
      <w:r w:rsidR="0065590D">
        <w:rPr>
          <w:spacing w:val="6"/>
          <w:sz w:val="26"/>
          <w:szCs w:val="26"/>
        </w:rPr>
        <w:t>desde</w:t>
      </w:r>
      <w:r>
        <w:rPr>
          <w:spacing w:val="6"/>
          <w:sz w:val="26"/>
          <w:szCs w:val="26"/>
        </w:rPr>
        <w:t xml:space="preserve"> 150.000 €) en TPO  para la adquisición de </w:t>
      </w:r>
      <w:r w:rsidRPr="0041561F">
        <w:rPr>
          <w:spacing w:val="6"/>
          <w:sz w:val="26"/>
          <w:szCs w:val="26"/>
        </w:rPr>
        <w:t>vivienda habitual (no se exige que sea primera</w:t>
      </w:r>
      <w:r w:rsidR="00071DAC" w:rsidRPr="0041561F">
        <w:rPr>
          <w:spacing w:val="6"/>
          <w:sz w:val="26"/>
          <w:szCs w:val="26"/>
        </w:rPr>
        <w:t xml:space="preserve"> y desde el 1 de enero de 2025 se incluyen 2 garajes y 1 trastero</w:t>
      </w:r>
      <w:r w:rsidRPr="0041561F">
        <w:rPr>
          <w:spacing w:val="6"/>
          <w:sz w:val="26"/>
          <w:szCs w:val="26"/>
        </w:rPr>
        <w:t>) por jóvenes de</w:t>
      </w:r>
      <w:r>
        <w:rPr>
          <w:spacing w:val="6"/>
          <w:sz w:val="26"/>
          <w:szCs w:val="26"/>
        </w:rPr>
        <w:t xml:space="preserve"> hasta 35 años, familias numerosas</w:t>
      </w:r>
      <w:r w:rsidR="00A5555C">
        <w:rPr>
          <w:spacing w:val="6"/>
          <w:sz w:val="26"/>
          <w:szCs w:val="26"/>
        </w:rPr>
        <w:t xml:space="preserve"> (desde el 1 de enero de 2025 también familias monoparentales)</w:t>
      </w:r>
      <w:r>
        <w:rPr>
          <w:spacing w:val="6"/>
          <w:sz w:val="26"/>
          <w:szCs w:val="26"/>
        </w:rPr>
        <w:t xml:space="preserve"> y mujeres víctimas de violencia de género, con los siguientes requisitos:</w:t>
      </w:r>
    </w:p>
    <w:p w14:paraId="38ABF654" w14:textId="77777777" w:rsidR="00F81A1C" w:rsidRDefault="00F81A1C" w:rsidP="00C854F8">
      <w:pPr>
        <w:numPr>
          <w:ilvl w:val="0"/>
          <w:numId w:val="14"/>
        </w:numPr>
        <w:tabs>
          <w:tab w:val="clear" w:pos="1800"/>
          <w:tab w:val="num" w:pos="1440"/>
        </w:tabs>
        <w:spacing w:line="280" w:lineRule="atLeast"/>
        <w:jc w:val="both"/>
        <w:rPr>
          <w:spacing w:val="6"/>
          <w:sz w:val="26"/>
          <w:szCs w:val="26"/>
        </w:rPr>
      </w:pPr>
      <w:r>
        <w:rPr>
          <w:rFonts w:ascii="CG Times" w:hAnsi="CG Times"/>
          <w:sz w:val="26"/>
          <w:szCs w:val="26"/>
        </w:rPr>
        <w:t>Ha de habitarse en el plazo de 6 meses, salvo que precise de obras previas, en cuyo caso deberá habitarse en el plazo de 3 meses a contar desde su terminación y sin que la duración de tales obras pueda exceder de 1 año.</w:t>
      </w:r>
    </w:p>
    <w:p w14:paraId="3815D1CD" w14:textId="77777777" w:rsidR="00F81A1C" w:rsidRDefault="00F81A1C" w:rsidP="00C854F8">
      <w:pPr>
        <w:numPr>
          <w:ilvl w:val="0"/>
          <w:numId w:val="14"/>
        </w:numPr>
        <w:tabs>
          <w:tab w:val="clear" w:pos="1800"/>
          <w:tab w:val="num" w:pos="1440"/>
        </w:tabs>
        <w:spacing w:line="280" w:lineRule="atLeast"/>
        <w:jc w:val="both"/>
        <w:rPr>
          <w:spacing w:val="6"/>
          <w:sz w:val="26"/>
          <w:szCs w:val="26"/>
        </w:rPr>
      </w:pPr>
      <w:r>
        <w:rPr>
          <w:spacing w:val="6"/>
          <w:sz w:val="26"/>
          <w:szCs w:val="26"/>
        </w:rPr>
        <w:lastRenderedPageBreak/>
        <w:t>Ha de constituir la</w:t>
      </w:r>
      <w:r w:rsidRPr="00902F6E">
        <w:rPr>
          <w:spacing w:val="6"/>
          <w:sz w:val="26"/>
          <w:szCs w:val="26"/>
        </w:rPr>
        <w:t xml:space="preserve"> residencia permanente durante un plazo continuado de 3 años.</w:t>
      </w:r>
    </w:p>
    <w:p w14:paraId="381E84C8" w14:textId="77777777" w:rsidR="00CC4A0D" w:rsidRPr="007E312E" w:rsidRDefault="00CC4A0D" w:rsidP="00C854F8">
      <w:pPr>
        <w:numPr>
          <w:ilvl w:val="2"/>
          <w:numId w:val="15"/>
        </w:numPr>
        <w:tabs>
          <w:tab w:val="num" w:pos="2520"/>
        </w:tabs>
        <w:spacing w:line="280" w:lineRule="atLeast"/>
        <w:jc w:val="both"/>
        <w:rPr>
          <w:b/>
          <w:spacing w:val="6"/>
          <w:sz w:val="22"/>
          <w:szCs w:val="22"/>
        </w:rPr>
      </w:pPr>
      <w:bookmarkStart w:id="84" w:name="Comentarios232"/>
      <w:bookmarkEnd w:id="84"/>
      <w:r>
        <w:rPr>
          <w:b/>
          <w:spacing w:val="6"/>
          <w:sz w:val="26"/>
          <w:szCs w:val="26"/>
        </w:rPr>
        <w:t>Comentarios</w:t>
      </w:r>
    </w:p>
    <w:p w14:paraId="05D8C84C" w14:textId="77777777" w:rsidR="00CC4A0D" w:rsidRDefault="0010307D" w:rsidP="00192123">
      <w:pPr>
        <w:spacing w:line="280" w:lineRule="atLeast"/>
        <w:ind w:left="1440"/>
        <w:jc w:val="both"/>
        <w:rPr>
          <w:spacing w:val="6"/>
          <w:sz w:val="26"/>
          <w:szCs w:val="26"/>
        </w:rPr>
      </w:pPr>
      <w:bookmarkStart w:id="85" w:name="_Hlk156058579"/>
      <w:r>
        <w:rPr>
          <w:spacing w:val="6"/>
          <w:sz w:val="26"/>
          <w:szCs w:val="26"/>
        </w:rPr>
        <w:t>A reserva de lo que depare la interpretación administrativa y judicial, puede apuntarse:</w:t>
      </w:r>
    </w:p>
    <w:bookmarkEnd w:id="85"/>
    <w:p w14:paraId="6888C4B4" w14:textId="77777777" w:rsidR="0010307D" w:rsidRDefault="0010307D" w:rsidP="00C854F8">
      <w:pPr>
        <w:numPr>
          <w:ilvl w:val="0"/>
          <w:numId w:val="39"/>
        </w:numPr>
        <w:spacing w:line="280" w:lineRule="atLeast"/>
        <w:jc w:val="both"/>
        <w:rPr>
          <w:spacing w:val="6"/>
          <w:sz w:val="26"/>
          <w:szCs w:val="26"/>
        </w:rPr>
      </w:pPr>
      <w:r>
        <w:rPr>
          <w:spacing w:val="6"/>
          <w:sz w:val="26"/>
          <w:szCs w:val="26"/>
        </w:rPr>
        <w:t>El valor de 150.000 € como límite de la aplicabilidad del tipo reducido del 4% o del 6% viene referido al valor total de la vivienda habitual adquirida, no a la participación en la misma de cada adquirente.</w:t>
      </w:r>
    </w:p>
    <w:p w14:paraId="61EF16F6" w14:textId="77777777" w:rsidR="0010307D" w:rsidRDefault="0010307D" w:rsidP="00C854F8">
      <w:pPr>
        <w:numPr>
          <w:ilvl w:val="0"/>
          <w:numId w:val="39"/>
        </w:numPr>
        <w:spacing w:line="280" w:lineRule="atLeast"/>
        <w:jc w:val="both"/>
        <w:rPr>
          <w:spacing w:val="6"/>
          <w:sz w:val="26"/>
          <w:szCs w:val="26"/>
        </w:rPr>
      </w:pPr>
      <w:r>
        <w:rPr>
          <w:spacing w:val="6"/>
          <w:sz w:val="26"/>
          <w:szCs w:val="26"/>
        </w:rPr>
        <w:t>El tipo reducido del 6% se aplica aunque el valor de la vivienda supere los 300.000 €, fijado como límite para la aplicabilidad del tipo incrementado del 9% frente al 8% general.</w:t>
      </w:r>
    </w:p>
    <w:p w14:paraId="2C50D8F3" w14:textId="77777777" w:rsidR="00D66C3C" w:rsidRPr="002073FC" w:rsidRDefault="00B6343C" w:rsidP="00C854F8">
      <w:pPr>
        <w:numPr>
          <w:ilvl w:val="0"/>
          <w:numId w:val="39"/>
        </w:numPr>
        <w:spacing w:line="280" w:lineRule="atLeast"/>
        <w:jc w:val="both"/>
        <w:rPr>
          <w:spacing w:val="6"/>
          <w:sz w:val="26"/>
          <w:szCs w:val="26"/>
        </w:rPr>
      </w:pPr>
      <w:r w:rsidRPr="002073FC">
        <w:rPr>
          <w:spacing w:val="6"/>
          <w:sz w:val="26"/>
          <w:szCs w:val="26"/>
        </w:rPr>
        <w:t>Hasta el 31/12/2024 e</w:t>
      </w:r>
      <w:r w:rsidR="00D66C3C" w:rsidRPr="002073FC">
        <w:rPr>
          <w:spacing w:val="6"/>
          <w:sz w:val="26"/>
          <w:szCs w:val="26"/>
        </w:rPr>
        <w:t xml:space="preserve">n la transmisión conjunta de vivienda y garajes/trasteros, </w:t>
      </w:r>
      <w:r w:rsidRPr="002073FC">
        <w:rPr>
          <w:spacing w:val="6"/>
          <w:sz w:val="26"/>
          <w:szCs w:val="26"/>
        </w:rPr>
        <w:t>el tipo reducido se aplicaba sólo a la vivienda</w:t>
      </w:r>
      <w:r w:rsidR="00D66C3C" w:rsidRPr="002073FC">
        <w:rPr>
          <w:spacing w:val="6"/>
          <w:sz w:val="26"/>
          <w:szCs w:val="26"/>
        </w:rPr>
        <w:t xml:space="preserve">, salvo que </w:t>
      </w:r>
      <w:r w:rsidRPr="002073FC">
        <w:rPr>
          <w:spacing w:val="6"/>
          <w:sz w:val="26"/>
          <w:szCs w:val="26"/>
        </w:rPr>
        <w:t>aquéllos fuesen</w:t>
      </w:r>
      <w:r w:rsidR="00D66C3C" w:rsidRPr="002073FC">
        <w:rPr>
          <w:spacing w:val="6"/>
          <w:sz w:val="26"/>
          <w:szCs w:val="26"/>
        </w:rPr>
        <w:t xml:space="preserve"> anejo inseparable.</w:t>
      </w:r>
      <w:r w:rsidR="00F21225" w:rsidRPr="002073FC">
        <w:rPr>
          <w:spacing w:val="6"/>
          <w:sz w:val="26"/>
          <w:szCs w:val="26"/>
        </w:rPr>
        <w:t xml:space="preserve"> Muy discutible</w:t>
      </w:r>
      <w:r w:rsidR="00B8692B" w:rsidRPr="002073FC">
        <w:rPr>
          <w:spacing w:val="6"/>
          <w:sz w:val="26"/>
          <w:szCs w:val="26"/>
        </w:rPr>
        <w:t>, pero en contrapartida, a los efectos del límite de 150.000 € debería atenderse también únicamente al valor de la vivienda.</w:t>
      </w:r>
    </w:p>
    <w:p w14:paraId="349FA63D" w14:textId="77777777" w:rsidR="0085129F" w:rsidRPr="0041561F" w:rsidRDefault="00B6343C" w:rsidP="00C854F8">
      <w:pPr>
        <w:numPr>
          <w:ilvl w:val="0"/>
          <w:numId w:val="39"/>
        </w:numPr>
        <w:spacing w:line="280" w:lineRule="atLeast"/>
        <w:jc w:val="both"/>
        <w:rPr>
          <w:spacing w:val="6"/>
          <w:sz w:val="26"/>
          <w:szCs w:val="26"/>
        </w:rPr>
      </w:pPr>
      <w:r w:rsidRPr="0041561F">
        <w:rPr>
          <w:spacing w:val="6"/>
          <w:sz w:val="26"/>
          <w:szCs w:val="26"/>
        </w:rPr>
        <w:t>Desde el 01/01/2025 en la transmisión conjunta de vivienda y garajes/trasteros, el tipo reducido se aplica también “</w:t>
      </w:r>
      <w:r w:rsidRPr="0041561F">
        <w:rPr>
          <w:i/>
          <w:iCs/>
          <w:spacing w:val="6"/>
          <w:sz w:val="26"/>
          <w:szCs w:val="26"/>
        </w:rPr>
        <w:t>... a los anexos adquiridos conjuntamente con el límite máximo de un trastero y dos plazas de garaje por vivienda...</w:t>
      </w:r>
      <w:r w:rsidRPr="0041561F">
        <w:rPr>
          <w:spacing w:val="6"/>
          <w:sz w:val="26"/>
          <w:szCs w:val="26"/>
        </w:rPr>
        <w:t>”.</w:t>
      </w:r>
    </w:p>
    <w:p w14:paraId="6BB94255" w14:textId="77777777" w:rsidR="00B6343C" w:rsidRPr="0041561F" w:rsidRDefault="00B6343C" w:rsidP="00C854F8">
      <w:pPr>
        <w:numPr>
          <w:ilvl w:val="0"/>
          <w:numId w:val="39"/>
        </w:numPr>
        <w:spacing w:line="280" w:lineRule="atLeast"/>
        <w:jc w:val="both"/>
        <w:rPr>
          <w:spacing w:val="6"/>
          <w:sz w:val="26"/>
          <w:szCs w:val="26"/>
        </w:rPr>
      </w:pPr>
      <w:r w:rsidRPr="0041561F">
        <w:rPr>
          <w:spacing w:val="6"/>
          <w:sz w:val="26"/>
          <w:szCs w:val="26"/>
        </w:rPr>
        <w:t>¿</w:t>
      </w:r>
      <w:r w:rsidR="002073FC" w:rsidRPr="0041561F">
        <w:rPr>
          <w:spacing w:val="6"/>
          <w:sz w:val="26"/>
          <w:szCs w:val="26"/>
        </w:rPr>
        <w:t>A</w:t>
      </w:r>
      <w:r w:rsidRPr="0041561F">
        <w:rPr>
          <w:spacing w:val="6"/>
          <w:sz w:val="26"/>
          <w:szCs w:val="26"/>
        </w:rPr>
        <w:t xml:space="preserve"> los efectos del límite de 150.000 € </w:t>
      </w:r>
      <w:r w:rsidR="002073FC" w:rsidRPr="0041561F">
        <w:rPr>
          <w:spacing w:val="6"/>
          <w:sz w:val="26"/>
          <w:szCs w:val="26"/>
        </w:rPr>
        <w:t>se atiende al valor conjunto o al de la vivienda</w:t>
      </w:r>
      <w:r w:rsidRPr="0041561F">
        <w:rPr>
          <w:spacing w:val="6"/>
          <w:sz w:val="26"/>
          <w:szCs w:val="26"/>
        </w:rPr>
        <w:t xml:space="preserve">? </w:t>
      </w:r>
      <w:r w:rsidR="002073FC" w:rsidRPr="0041561F">
        <w:rPr>
          <w:spacing w:val="6"/>
          <w:sz w:val="26"/>
          <w:szCs w:val="26"/>
        </w:rPr>
        <w:t>Según interpretación oficiosa, se atiende sólo al valor de la vivienda cuando los garajes/trasteros cuenten con refe</w:t>
      </w:r>
      <w:r w:rsidR="00B67788" w:rsidRPr="0041561F">
        <w:rPr>
          <w:spacing w:val="6"/>
          <w:sz w:val="26"/>
          <w:szCs w:val="26"/>
        </w:rPr>
        <w:t>re</w:t>
      </w:r>
      <w:r w:rsidR="002073FC" w:rsidRPr="0041561F">
        <w:rPr>
          <w:spacing w:val="6"/>
          <w:sz w:val="26"/>
          <w:szCs w:val="26"/>
        </w:rPr>
        <w:t xml:space="preserve">ncia catastral propia (por ejemplo, en el caso de vivienda de 140.000 y de garaje de 20.000, se tomarían en consideración los 140.000 de la vivienda si el </w:t>
      </w:r>
      <w:proofErr w:type="spellStart"/>
      <w:r w:rsidR="008234F3" w:rsidRPr="0041561F">
        <w:rPr>
          <w:spacing w:val="6"/>
          <w:sz w:val="26"/>
          <w:szCs w:val="26"/>
        </w:rPr>
        <w:t>ga</w:t>
      </w:r>
      <w:r w:rsidR="002073FC" w:rsidRPr="0041561F">
        <w:rPr>
          <w:spacing w:val="6"/>
          <w:sz w:val="26"/>
          <w:szCs w:val="26"/>
        </w:rPr>
        <w:t>araje</w:t>
      </w:r>
      <w:proofErr w:type="spellEnd"/>
      <w:r w:rsidR="002073FC" w:rsidRPr="0041561F">
        <w:rPr>
          <w:spacing w:val="6"/>
          <w:sz w:val="26"/>
          <w:szCs w:val="26"/>
        </w:rPr>
        <w:t xml:space="preserve"> tiene referencia catastral propia, pues en otro caso el valor a considerar serían 160.000).</w:t>
      </w:r>
    </w:p>
    <w:p w14:paraId="3D329E5B" w14:textId="77777777" w:rsidR="0085129F" w:rsidRPr="0041561F" w:rsidRDefault="0085129F" w:rsidP="00C854F8">
      <w:pPr>
        <w:numPr>
          <w:ilvl w:val="0"/>
          <w:numId w:val="39"/>
        </w:numPr>
        <w:spacing w:line="280" w:lineRule="atLeast"/>
        <w:jc w:val="both"/>
        <w:rPr>
          <w:spacing w:val="6"/>
          <w:sz w:val="26"/>
          <w:szCs w:val="26"/>
        </w:rPr>
      </w:pPr>
      <w:r w:rsidRPr="0041561F">
        <w:rPr>
          <w:spacing w:val="6"/>
          <w:sz w:val="26"/>
          <w:szCs w:val="26"/>
        </w:rPr>
        <w:t>La anterior interpretación atiende únicamente a la independencia catastral del inmueble no a su independencia registral; en contra del criterio seguido, al menos hasta ahora, para la aplicación de los tipos generales, que atendía a la independencia registral.</w:t>
      </w:r>
    </w:p>
    <w:p w14:paraId="59F1DD0D" w14:textId="77777777" w:rsidR="0085129F" w:rsidRPr="0041561F" w:rsidRDefault="0085129F" w:rsidP="00C854F8">
      <w:pPr>
        <w:numPr>
          <w:ilvl w:val="0"/>
          <w:numId w:val="39"/>
        </w:numPr>
        <w:spacing w:line="280" w:lineRule="atLeast"/>
        <w:jc w:val="both"/>
        <w:rPr>
          <w:spacing w:val="6"/>
          <w:sz w:val="26"/>
          <w:szCs w:val="26"/>
        </w:rPr>
      </w:pPr>
      <w:r w:rsidRPr="0041561F">
        <w:rPr>
          <w:spacing w:val="6"/>
          <w:sz w:val="26"/>
          <w:szCs w:val="26"/>
        </w:rPr>
        <w:t>Puede interesar documentar el garaje/trastero en escritura aparte si su tributación al 8% (en vez del 6%) y consecuente tributación de la vivienda al 4% (en vez del 6%) es más beneficiosa que la total tributación al 6%.</w:t>
      </w:r>
    </w:p>
    <w:p w14:paraId="2EBA2D51" w14:textId="77777777" w:rsidR="00FE4F2D" w:rsidRPr="00FE4F2D" w:rsidRDefault="00887EBE" w:rsidP="00C854F8">
      <w:pPr>
        <w:numPr>
          <w:ilvl w:val="0"/>
          <w:numId w:val="39"/>
        </w:numPr>
        <w:spacing w:line="280" w:lineRule="atLeast"/>
        <w:jc w:val="both"/>
        <w:rPr>
          <w:color w:val="FF0000"/>
          <w:spacing w:val="6"/>
          <w:sz w:val="26"/>
          <w:szCs w:val="26"/>
          <w:lang w:val="es-ES"/>
        </w:rPr>
      </w:pPr>
      <w:r w:rsidRPr="0041561F">
        <w:rPr>
          <w:spacing w:val="6"/>
          <w:sz w:val="26"/>
          <w:szCs w:val="26"/>
        </w:rPr>
        <w:t xml:space="preserve">Desde el 01/01/2025 se incluye a las familias monoparentales, lo cual se acredita </w:t>
      </w:r>
      <w:r w:rsidR="00AA6C13" w:rsidRPr="0041561F">
        <w:rPr>
          <w:spacing w:val="6"/>
          <w:sz w:val="26"/>
          <w:szCs w:val="26"/>
        </w:rPr>
        <w:t>mediante la</w:t>
      </w:r>
      <w:r w:rsidR="00AA6C13">
        <w:rPr>
          <w:color w:val="FF0000"/>
          <w:spacing w:val="6"/>
          <w:sz w:val="26"/>
          <w:szCs w:val="26"/>
        </w:rPr>
        <w:t xml:space="preserve"> </w:t>
      </w:r>
      <w:r w:rsidR="00AA6C13" w:rsidRPr="0041561F">
        <w:rPr>
          <w:spacing w:val="6"/>
          <w:sz w:val="26"/>
          <w:szCs w:val="26"/>
        </w:rPr>
        <w:t>correspondiente resolución</w:t>
      </w:r>
      <w:r w:rsidR="00FE4F2D" w:rsidRPr="0041561F">
        <w:rPr>
          <w:spacing w:val="6"/>
          <w:sz w:val="26"/>
          <w:szCs w:val="26"/>
        </w:rPr>
        <w:t xml:space="preserve"> conforme a</w:t>
      </w:r>
      <w:r w:rsidR="00FE4F2D">
        <w:rPr>
          <w:color w:val="FF0000"/>
          <w:spacing w:val="6"/>
          <w:sz w:val="26"/>
          <w:szCs w:val="26"/>
        </w:rPr>
        <w:t xml:space="preserve"> </w:t>
      </w:r>
      <w:hyperlink r:id="rId156" w:history="1">
        <w:r w:rsidR="00FE4F2D" w:rsidRPr="00FE4F2D">
          <w:rPr>
            <w:rStyle w:val="Hipervnculo"/>
            <w:spacing w:val="6"/>
            <w:sz w:val="26"/>
            <w:szCs w:val="26"/>
            <w:lang w:val="es-ES"/>
          </w:rPr>
          <w:t>Decreto 19/2023, de 10 de marzo, por el que se regula el reconocimiento de la condición de familia monoparental en el Principado de Asturias</w:t>
        </w:r>
      </w:hyperlink>
      <w:r w:rsidR="00FE4F2D" w:rsidRPr="00FE4F2D">
        <w:rPr>
          <w:spacing w:val="6"/>
          <w:sz w:val="26"/>
          <w:szCs w:val="26"/>
          <w:lang w:val="es-ES"/>
        </w:rPr>
        <w:t>.</w:t>
      </w:r>
      <w:r w:rsidR="00FE4F2D" w:rsidRPr="00FE4F2D">
        <w:rPr>
          <w:color w:val="FF0000"/>
          <w:spacing w:val="6"/>
          <w:sz w:val="26"/>
          <w:szCs w:val="26"/>
          <w:lang w:val="es-ES"/>
        </w:rPr>
        <w:t> </w:t>
      </w:r>
    </w:p>
    <w:p w14:paraId="37693DFD" w14:textId="77777777" w:rsidR="00D66C3C" w:rsidRDefault="00D66C3C" w:rsidP="00C854F8">
      <w:pPr>
        <w:numPr>
          <w:ilvl w:val="0"/>
          <w:numId w:val="39"/>
        </w:numPr>
        <w:spacing w:line="280" w:lineRule="atLeast"/>
        <w:jc w:val="both"/>
        <w:rPr>
          <w:spacing w:val="6"/>
          <w:sz w:val="26"/>
          <w:szCs w:val="26"/>
        </w:rPr>
      </w:pPr>
      <w:r w:rsidRPr="00D66C3C">
        <w:rPr>
          <w:spacing w:val="6"/>
          <w:sz w:val="26"/>
          <w:szCs w:val="26"/>
        </w:rPr>
        <w:lastRenderedPageBreak/>
        <w:t>Los tipos</w:t>
      </w:r>
      <w:r>
        <w:rPr>
          <w:spacing w:val="6"/>
          <w:sz w:val="26"/>
          <w:szCs w:val="26"/>
        </w:rPr>
        <w:t xml:space="preserve"> reducidos</w:t>
      </w:r>
      <w:r w:rsidRPr="00D66C3C">
        <w:rPr>
          <w:spacing w:val="6"/>
          <w:sz w:val="26"/>
          <w:szCs w:val="26"/>
        </w:rPr>
        <w:t xml:space="preserve"> del 4 o 6% no se aplican por tramos sino en función del total valor del bien</w:t>
      </w:r>
      <w:r>
        <w:rPr>
          <w:spacing w:val="6"/>
          <w:sz w:val="26"/>
          <w:szCs w:val="26"/>
        </w:rPr>
        <w:t xml:space="preserve">, </w:t>
      </w:r>
      <w:r w:rsidRPr="00296795">
        <w:rPr>
          <w:spacing w:val="6"/>
          <w:sz w:val="26"/>
          <w:szCs w:val="26"/>
        </w:rPr>
        <w:t>salvo en las participaciones con asignación de uso de garajes y trasteros configurados como fincas registrales independientes</w:t>
      </w:r>
      <w:r>
        <w:rPr>
          <w:spacing w:val="6"/>
          <w:sz w:val="26"/>
          <w:szCs w:val="26"/>
        </w:rPr>
        <w:t>.</w:t>
      </w:r>
    </w:p>
    <w:p w14:paraId="5B7BEA46" w14:textId="77777777" w:rsidR="00FA4E6A" w:rsidRDefault="00FA4E6A" w:rsidP="00C854F8">
      <w:pPr>
        <w:numPr>
          <w:ilvl w:val="0"/>
          <w:numId w:val="39"/>
        </w:numPr>
        <w:spacing w:line="280" w:lineRule="atLeast"/>
        <w:jc w:val="both"/>
        <w:rPr>
          <w:spacing w:val="6"/>
          <w:sz w:val="26"/>
          <w:szCs w:val="26"/>
        </w:rPr>
      </w:pPr>
      <w:r>
        <w:rPr>
          <w:spacing w:val="6"/>
          <w:sz w:val="26"/>
          <w:szCs w:val="26"/>
        </w:rPr>
        <w:t>Los tipos reducidos del 4 o del 6% se aplican a la base determinada por la participación del adquirente en quien concurran las circunstancias habilitantes</w:t>
      </w:r>
      <w:r w:rsidR="00D66C3C">
        <w:rPr>
          <w:spacing w:val="6"/>
          <w:sz w:val="26"/>
          <w:szCs w:val="26"/>
        </w:rPr>
        <w:t xml:space="preserve">, </w:t>
      </w:r>
      <w:r w:rsidR="00D66C3C" w:rsidRPr="00B60C48">
        <w:rPr>
          <w:spacing w:val="6"/>
          <w:sz w:val="26"/>
          <w:szCs w:val="26"/>
        </w:rPr>
        <w:t>lo mismo que en la</w:t>
      </w:r>
      <w:r w:rsidR="00D66C3C">
        <w:rPr>
          <w:spacing w:val="6"/>
          <w:sz w:val="26"/>
          <w:szCs w:val="26"/>
        </w:rPr>
        <w:t xml:space="preserve"> a</w:t>
      </w:r>
      <w:r w:rsidR="00D66C3C" w:rsidRPr="00B60C48">
        <w:rPr>
          <w:spacing w:val="6"/>
          <w:sz w:val="26"/>
          <w:szCs w:val="26"/>
        </w:rPr>
        <w:t>dquisición por es</w:t>
      </w:r>
      <w:r w:rsidR="00D66C3C">
        <w:rPr>
          <w:spacing w:val="6"/>
          <w:sz w:val="26"/>
          <w:szCs w:val="26"/>
        </w:rPr>
        <w:t>posos con carácter ganancial</w:t>
      </w:r>
    </w:p>
    <w:p w14:paraId="3BD777B1" w14:textId="77777777" w:rsidR="00FA4E6A" w:rsidRDefault="00D66C3C" w:rsidP="00C854F8">
      <w:pPr>
        <w:numPr>
          <w:ilvl w:val="0"/>
          <w:numId w:val="39"/>
        </w:numPr>
        <w:spacing w:line="280" w:lineRule="atLeast"/>
        <w:jc w:val="both"/>
        <w:rPr>
          <w:spacing w:val="6"/>
          <w:sz w:val="26"/>
          <w:szCs w:val="26"/>
        </w:rPr>
      </w:pPr>
      <w:r>
        <w:rPr>
          <w:spacing w:val="6"/>
          <w:sz w:val="26"/>
          <w:szCs w:val="26"/>
        </w:rPr>
        <w:t>“Jóvenes de hasta 35 años” incluye los que ya hayan cumplido 35 años.</w:t>
      </w:r>
    </w:p>
    <w:p w14:paraId="5417893B" w14:textId="77777777" w:rsidR="007F69E4" w:rsidRDefault="007F69E4" w:rsidP="00C854F8">
      <w:pPr>
        <w:numPr>
          <w:ilvl w:val="0"/>
          <w:numId w:val="40"/>
        </w:numPr>
        <w:spacing w:line="280" w:lineRule="atLeast"/>
        <w:jc w:val="both"/>
        <w:rPr>
          <w:spacing w:val="6"/>
          <w:sz w:val="26"/>
          <w:szCs w:val="26"/>
        </w:rPr>
      </w:pPr>
      <w:r>
        <w:rPr>
          <w:spacing w:val="6"/>
          <w:sz w:val="26"/>
          <w:szCs w:val="26"/>
        </w:rPr>
        <w:t>Es también aplicable a la vivienda protegida respecto de la cual no opere el tipo reducido del 3%.</w:t>
      </w:r>
    </w:p>
    <w:p w14:paraId="25F884A9" w14:textId="77777777" w:rsidR="00000FCC" w:rsidRDefault="00000FCC" w:rsidP="00C854F8">
      <w:pPr>
        <w:numPr>
          <w:ilvl w:val="0"/>
          <w:numId w:val="40"/>
        </w:numPr>
        <w:spacing w:line="280" w:lineRule="atLeast"/>
        <w:jc w:val="both"/>
        <w:rPr>
          <w:spacing w:val="6"/>
          <w:sz w:val="26"/>
          <w:szCs w:val="26"/>
        </w:rPr>
      </w:pPr>
      <w:r>
        <w:rPr>
          <w:spacing w:val="6"/>
          <w:sz w:val="26"/>
          <w:szCs w:val="26"/>
        </w:rPr>
        <w:t>Parece que el tipo reducido se extiende a los precontratos y opciones cuando fuere aplicable a la transmisión derivada del contrato principal.</w:t>
      </w:r>
    </w:p>
    <w:p w14:paraId="4A061445" w14:textId="77777777" w:rsidR="006419F3" w:rsidRPr="00902F6E" w:rsidRDefault="006419F3" w:rsidP="00C854F8">
      <w:pPr>
        <w:numPr>
          <w:ilvl w:val="0"/>
          <w:numId w:val="40"/>
        </w:numPr>
        <w:spacing w:line="280" w:lineRule="atLeast"/>
        <w:jc w:val="both"/>
        <w:rPr>
          <w:spacing w:val="6"/>
          <w:sz w:val="26"/>
          <w:szCs w:val="26"/>
        </w:rPr>
      </w:pPr>
      <w:r>
        <w:rPr>
          <w:spacing w:val="6"/>
          <w:sz w:val="26"/>
          <w:szCs w:val="26"/>
        </w:rPr>
        <w:t>¿Es aplicable a los reconocimientos de dominio?</w:t>
      </w:r>
    </w:p>
    <w:p w14:paraId="664482D7" w14:textId="77777777" w:rsidR="00A9124F" w:rsidRDefault="00A9124F" w:rsidP="00C854F8">
      <w:pPr>
        <w:numPr>
          <w:ilvl w:val="0"/>
          <w:numId w:val="39"/>
        </w:numPr>
        <w:spacing w:line="280" w:lineRule="atLeast"/>
        <w:jc w:val="both"/>
        <w:rPr>
          <w:spacing w:val="6"/>
          <w:sz w:val="26"/>
          <w:szCs w:val="26"/>
        </w:rPr>
      </w:pPr>
      <w:bookmarkStart w:id="86" w:name="_Hlk159314802"/>
      <w:r>
        <w:rPr>
          <w:spacing w:val="6"/>
          <w:sz w:val="26"/>
          <w:szCs w:val="26"/>
        </w:rPr>
        <w:t>Afecta sólo a la modalidad de Transmisiones Patrimoniales Onerosas, pero no a la de Actos Jurídicos Documentados.</w:t>
      </w:r>
    </w:p>
    <w:p w14:paraId="6D5C61E5" w14:textId="77777777" w:rsidR="00F81A1C" w:rsidRDefault="00F81A1C" w:rsidP="00C854F8">
      <w:pPr>
        <w:numPr>
          <w:ilvl w:val="2"/>
          <w:numId w:val="15"/>
        </w:numPr>
        <w:tabs>
          <w:tab w:val="num" w:pos="2520"/>
        </w:tabs>
        <w:spacing w:line="280" w:lineRule="atLeast"/>
        <w:jc w:val="both"/>
        <w:rPr>
          <w:b/>
          <w:spacing w:val="6"/>
          <w:sz w:val="22"/>
          <w:szCs w:val="22"/>
        </w:rPr>
      </w:pPr>
      <w:bookmarkStart w:id="87" w:name="tratamiento253"/>
      <w:bookmarkEnd w:id="86"/>
      <w:bookmarkEnd w:id="87"/>
      <w:r>
        <w:rPr>
          <w:b/>
          <w:spacing w:val="6"/>
          <w:sz w:val="26"/>
          <w:szCs w:val="26"/>
        </w:rPr>
        <w:t>Tratamiento notarial</w:t>
      </w:r>
    </w:p>
    <w:p w14:paraId="0C248EB2" w14:textId="77777777" w:rsidR="00F81A1C" w:rsidRPr="005669C4" w:rsidRDefault="00F81A1C" w:rsidP="00C854F8">
      <w:pPr>
        <w:numPr>
          <w:ilvl w:val="0"/>
          <w:numId w:val="34"/>
        </w:numPr>
        <w:spacing w:line="280" w:lineRule="atLeast"/>
        <w:jc w:val="both"/>
        <w:rPr>
          <w:spacing w:val="6"/>
          <w:sz w:val="26"/>
          <w:szCs w:val="26"/>
          <w:u w:val="single"/>
        </w:rPr>
      </w:pPr>
      <w:r>
        <w:rPr>
          <w:rFonts w:ascii="CG Times" w:hAnsi="CG Times"/>
          <w:sz w:val="26"/>
          <w:szCs w:val="26"/>
        </w:rPr>
        <w:t>Incluir la siguiente cláusula en la Exposición:</w:t>
      </w:r>
    </w:p>
    <w:p w14:paraId="718309EB" w14:textId="77777777" w:rsidR="00F81A1C" w:rsidRPr="00C7515A" w:rsidRDefault="00F81A1C" w:rsidP="00F81A1C">
      <w:pPr>
        <w:spacing w:line="280" w:lineRule="atLeast"/>
        <w:ind w:left="1800"/>
        <w:jc w:val="both"/>
        <w:rPr>
          <w:spacing w:val="6"/>
          <w:sz w:val="26"/>
          <w:szCs w:val="26"/>
          <w:u w:val="single"/>
        </w:rPr>
      </w:pPr>
      <w:r w:rsidRPr="00C7515A">
        <w:rPr>
          <w:rFonts w:ascii="CG Times" w:hAnsi="CG Times"/>
          <w:b/>
          <w:sz w:val="26"/>
          <w:szCs w:val="26"/>
        </w:rPr>
        <w:t>E) Declaraciones fiscales.-</w:t>
      </w:r>
      <w:r w:rsidRPr="00C7515A">
        <w:rPr>
          <w:rFonts w:ascii="CG Times" w:hAnsi="CG Times"/>
          <w:sz w:val="26"/>
          <w:szCs w:val="26"/>
        </w:rPr>
        <w:t xml:space="preserve"> </w:t>
      </w:r>
      <w:bookmarkStart w:id="88" w:name="_Hlk199439422"/>
      <w:bookmarkStart w:id="89" w:name="_Hlk159834164"/>
      <w:r w:rsidRPr="00C7515A">
        <w:rPr>
          <w:rFonts w:ascii="CG Times" w:hAnsi="CG Times"/>
          <w:sz w:val="26"/>
          <w:szCs w:val="26"/>
        </w:rPr>
        <w:t xml:space="preserve">A los efectos previstos en el </w:t>
      </w:r>
      <w:r w:rsidRPr="00B6394D">
        <w:rPr>
          <w:rFonts w:ascii="Times New Roman" w:hAnsi="Times New Roman"/>
          <w:sz w:val="26"/>
          <w:szCs w:val="26"/>
          <w:lang w:val="es-ES"/>
        </w:rPr>
        <w:t>art. 32 bis del Decreto-legislativo asturiano 2/2014</w:t>
      </w:r>
      <w:r w:rsidRPr="00C7515A">
        <w:rPr>
          <w:rFonts w:ascii="CG Times" w:hAnsi="CG Times"/>
          <w:sz w:val="26"/>
          <w:szCs w:val="26"/>
        </w:rPr>
        <w:t>, el/la/los adquirente/s ***</w:t>
      </w:r>
      <w:r w:rsidR="006757A3">
        <w:rPr>
          <w:rFonts w:ascii="CG Times" w:hAnsi="CG Times"/>
          <w:sz w:val="26"/>
          <w:szCs w:val="26"/>
        </w:rPr>
        <w:t xml:space="preserve"> </w:t>
      </w:r>
      <w:r w:rsidRPr="00C7515A">
        <w:rPr>
          <w:rFonts w:ascii="CG Times" w:hAnsi="CG Times"/>
          <w:sz w:val="26"/>
          <w:szCs w:val="26"/>
        </w:rPr>
        <w:t>manifiesta/n que le/s es de aplicación el tipo reducido en el Impuesto sobre Transmisio</w:t>
      </w:r>
      <w:r>
        <w:rPr>
          <w:rFonts w:ascii="CG Times" w:hAnsi="CG Times"/>
          <w:sz w:val="26"/>
          <w:szCs w:val="26"/>
        </w:rPr>
        <w:t>nes Patrimoniales Onerosas del 4% (para valores hasta 150.000 €) y del 6</w:t>
      </w:r>
      <w:r w:rsidRPr="00C7515A">
        <w:rPr>
          <w:rFonts w:ascii="CG Times" w:hAnsi="CG Times"/>
          <w:sz w:val="26"/>
          <w:szCs w:val="26"/>
        </w:rPr>
        <w:t>%</w:t>
      </w:r>
      <w:r>
        <w:rPr>
          <w:rFonts w:ascii="CG Times" w:hAnsi="CG Times"/>
          <w:sz w:val="26"/>
          <w:szCs w:val="26"/>
        </w:rPr>
        <w:t xml:space="preserve"> (para valores de más de 150.000 €)</w:t>
      </w:r>
      <w:r w:rsidRPr="00C7515A">
        <w:rPr>
          <w:rFonts w:ascii="CG Times" w:hAnsi="CG Times"/>
          <w:sz w:val="26"/>
          <w:szCs w:val="26"/>
        </w:rPr>
        <w:t>, pues:</w:t>
      </w:r>
    </w:p>
    <w:p w14:paraId="4B20729C" w14:textId="77777777" w:rsidR="005463F8" w:rsidRDefault="00F81A1C" w:rsidP="005463F8">
      <w:pPr>
        <w:ind w:left="1800"/>
        <w:jc w:val="both"/>
        <w:rPr>
          <w:rFonts w:ascii="CG Times" w:hAnsi="CG Times"/>
          <w:sz w:val="26"/>
          <w:szCs w:val="26"/>
        </w:rPr>
      </w:pPr>
      <w:r>
        <w:rPr>
          <w:rFonts w:ascii="CG Times" w:hAnsi="CG Times"/>
          <w:sz w:val="26"/>
          <w:szCs w:val="26"/>
        </w:rPr>
        <w:t xml:space="preserve">- </w:t>
      </w:r>
      <w:r w:rsidR="005463F8">
        <w:rPr>
          <w:rFonts w:ascii="CG Times" w:hAnsi="CG Times"/>
          <w:sz w:val="26"/>
          <w:szCs w:val="26"/>
        </w:rPr>
        <w:t>*** Es joven de hasta 35 años</w:t>
      </w:r>
      <w:r w:rsidR="006757A3">
        <w:rPr>
          <w:rFonts w:ascii="CG Times" w:hAnsi="CG Times"/>
          <w:sz w:val="26"/>
          <w:szCs w:val="26"/>
        </w:rPr>
        <w:t>, nacido/s el ***</w:t>
      </w:r>
      <w:r w:rsidR="005463F8">
        <w:rPr>
          <w:rFonts w:ascii="CG Times" w:hAnsi="CG Times"/>
          <w:sz w:val="26"/>
          <w:szCs w:val="26"/>
        </w:rPr>
        <w:t xml:space="preserve">. *** Son jóvenes de hasta 35 años. *** Tienen la consideración de </w:t>
      </w:r>
      <w:r w:rsidR="00552E9E">
        <w:rPr>
          <w:rFonts w:ascii="CG Times" w:hAnsi="CG Times"/>
          <w:sz w:val="26"/>
          <w:szCs w:val="26"/>
        </w:rPr>
        <w:t>***</w:t>
      </w:r>
      <w:r w:rsidR="005463F8">
        <w:rPr>
          <w:rFonts w:ascii="CG Times" w:hAnsi="CG Times"/>
          <w:sz w:val="26"/>
          <w:szCs w:val="26"/>
        </w:rPr>
        <w:t>familia numerosa</w:t>
      </w:r>
      <w:r w:rsidR="00552E9E">
        <w:rPr>
          <w:rFonts w:ascii="CG Times" w:hAnsi="CG Times"/>
          <w:sz w:val="26"/>
          <w:szCs w:val="26"/>
        </w:rPr>
        <w:t>, lo que acreditan mediante *** familia monoparental</w:t>
      </w:r>
      <w:r w:rsidR="006757A3">
        <w:rPr>
          <w:rFonts w:ascii="CG Times" w:hAnsi="CG Times"/>
          <w:sz w:val="26"/>
          <w:szCs w:val="26"/>
        </w:rPr>
        <w:t>, lo que acredita mediante ***, que incorporo por testimonio</w:t>
      </w:r>
      <w:r w:rsidR="005463F8">
        <w:rPr>
          <w:rFonts w:ascii="CG Times" w:hAnsi="CG Times"/>
          <w:sz w:val="26"/>
          <w:szCs w:val="26"/>
        </w:rPr>
        <w:t>. *** Es una mujer víctima de violencia de género</w:t>
      </w:r>
      <w:r w:rsidR="006757A3">
        <w:rPr>
          <w:rFonts w:ascii="CG Times" w:hAnsi="CG Times"/>
          <w:sz w:val="26"/>
          <w:szCs w:val="26"/>
        </w:rPr>
        <w:t>, lo que acredita mediante ***, que incorporo por testimonio</w:t>
      </w:r>
      <w:r w:rsidR="005463F8">
        <w:rPr>
          <w:rFonts w:ascii="CG Times" w:hAnsi="CG Times"/>
          <w:sz w:val="26"/>
          <w:szCs w:val="26"/>
        </w:rPr>
        <w:t>.</w:t>
      </w:r>
    </w:p>
    <w:p w14:paraId="36D9966D" w14:textId="77777777" w:rsidR="00F81A1C" w:rsidRDefault="00F81A1C" w:rsidP="0041561F">
      <w:pPr>
        <w:ind w:left="1797"/>
        <w:jc w:val="both"/>
        <w:rPr>
          <w:rFonts w:ascii="CG Times" w:hAnsi="CG Times"/>
          <w:sz w:val="26"/>
          <w:szCs w:val="26"/>
        </w:rPr>
      </w:pPr>
      <w:r>
        <w:rPr>
          <w:rFonts w:ascii="CG Times" w:hAnsi="CG Times"/>
          <w:sz w:val="26"/>
          <w:szCs w:val="26"/>
        </w:rPr>
        <w:t>- La vivienda adquirida se destinará a su residencia permanente en el plazo de 6 meses y durante al menos 3 años, con las excepciones legalmente previstas</w:t>
      </w:r>
      <w:r>
        <w:rPr>
          <w:rFonts w:ascii="CG Times" w:hAnsi="CG Times"/>
          <w:sz w:val="26"/>
          <w:szCs w:val="26"/>
          <w:lang w:val="es-ES"/>
        </w:rPr>
        <w:t>. Entre tales excepciones figura la necesidad</w:t>
      </w:r>
      <w:r>
        <w:rPr>
          <w:rFonts w:ascii="CG Times" w:hAnsi="CG Times"/>
          <w:sz w:val="26"/>
          <w:szCs w:val="26"/>
        </w:rPr>
        <w:t xml:space="preserve"> de obras previas, en cuyo caso deberá habitarse en el plazo de 3 meses a contar desde su terminación y sin que la duración de tales obras pueda exceder de 1 año.</w:t>
      </w:r>
    </w:p>
    <w:bookmarkEnd w:id="88"/>
    <w:p w14:paraId="546C9F93" w14:textId="77777777" w:rsidR="0085129F" w:rsidRPr="0041561F" w:rsidRDefault="0085129F" w:rsidP="005463F8">
      <w:pPr>
        <w:spacing w:after="60"/>
        <w:ind w:left="1797"/>
        <w:jc w:val="both"/>
        <w:rPr>
          <w:rFonts w:ascii="CG Times" w:hAnsi="CG Times"/>
          <w:sz w:val="26"/>
          <w:szCs w:val="26"/>
        </w:rPr>
      </w:pPr>
      <w:r w:rsidRPr="0041561F">
        <w:rPr>
          <w:rFonts w:ascii="CG Times" w:hAnsi="CG Times"/>
          <w:sz w:val="26"/>
          <w:szCs w:val="26"/>
        </w:rPr>
        <w:t xml:space="preserve">*** Manifiesta/n también que, aunque el valor total excede de 150.000 €, el tipo reducido del 4% se aplica a todo lo adquirido por no exceder la vivienda de dicho límite y constituir los garajes/trastero </w:t>
      </w:r>
      <w:proofErr w:type="spellStart"/>
      <w:r w:rsidRPr="0041561F">
        <w:rPr>
          <w:rFonts w:ascii="CG Times" w:hAnsi="CG Times"/>
          <w:sz w:val="26"/>
          <w:szCs w:val="26"/>
        </w:rPr>
        <w:t>ectidades</w:t>
      </w:r>
      <w:proofErr w:type="spellEnd"/>
      <w:r w:rsidRPr="0041561F">
        <w:rPr>
          <w:rFonts w:ascii="CG Times" w:hAnsi="CG Times"/>
          <w:sz w:val="26"/>
          <w:szCs w:val="26"/>
        </w:rPr>
        <w:t xml:space="preserve"> catastrales independientes, según interpretación facilitada por el organismo correspondiente, de cuya </w:t>
      </w:r>
      <w:r w:rsidR="009310CE" w:rsidRPr="0041561F">
        <w:rPr>
          <w:rFonts w:ascii="CG Times" w:hAnsi="CG Times"/>
          <w:sz w:val="26"/>
          <w:szCs w:val="26"/>
        </w:rPr>
        <w:t>mutabilidad les advierto.</w:t>
      </w:r>
    </w:p>
    <w:p w14:paraId="6632AB48" w14:textId="77777777" w:rsidR="00637DC8" w:rsidRPr="00637DC8" w:rsidRDefault="00637DC8" w:rsidP="00C854F8">
      <w:pPr>
        <w:numPr>
          <w:ilvl w:val="1"/>
          <w:numId w:val="15"/>
        </w:numPr>
        <w:tabs>
          <w:tab w:val="num" w:pos="1440"/>
          <w:tab w:val="num" w:pos="2520"/>
        </w:tabs>
        <w:spacing w:line="280" w:lineRule="atLeast"/>
        <w:jc w:val="both"/>
        <w:rPr>
          <w:b/>
          <w:color w:val="000000"/>
          <w:spacing w:val="6"/>
          <w:sz w:val="26"/>
          <w:szCs w:val="26"/>
        </w:rPr>
      </w:pPr>
      <w:bookmarkStart w:id="90" w:name="deducción24"/>
      <w:bookmarkEnd w:id="89"/>
      <w:bookmarkEnd w:id="90"/>
      <w:r>
        <w:rPr>
          <w:b/>
          <w:spacing w:val="6"/>
          <w:sz w:val="26"/>
          <w:szCs w:val="26"/>
        </w:rPr>
        <w:lastRenderedPageBreak/>
        <w:t>Deducción 100% en TPO para las transmisiones de suelo rústico</w:t>
      </w:r>
    </w:p>
    <w:p w14:paraId="40E1E40A" w14:textId="77777777" w:rsidR="00637DC8" w:rsidRPr="00637DC8" w:rsidRDefault="00637DC8" w:rsidP="00C854F8">
      <w:pPr>
        <w:numPr>
          <w:ilvl w:val="2"/>
          <w:numId w:val="15"/>
        </w:numPr>
        <w:tabs>
          <w:tab w:val="num" w:pos="2520"/>
        </w:tabs>
        <w:spacing w:line="280" w:lineRule="atLeast"/>
        <w:jc w:val="both"/>
        <w:rPr>
          <w:b/>
          <w:color w:val="000000"/>
          <w:spacing w:val="6"/>
          <w:sz w:val="26"/>
          <w:szCs w:val="26"/>
        </w:rPr>
      </w:pPr>
      <w:bookmarkStart w:id="91" w:name="normativa241"/>
      <w:bookmarkEnd w:id="91"/>
      <w:r>
        <w:rPr>
          <w:b/>
          <w:spacing w:val="6"/>
          <w:sz w:val="26"/>
          <w:szCs w:val="26"/>
        </w:rPr>
        <w:t>Normativa vigente</w:t>
      </w:r>
    </w:p>
    <w:p w14:paraId="34F62947" w14:textId="77777777" w:rsidR="00637DC8" w:rsidRDefault="0093628F" w:rsidP="0093628F">
      <w:pPr>
        <w:tabs>
          <w:tab w:val="num" w:pos="2520"/>
        </w:tabs>
        <w:spacing w:line="280" w:lineRule="atLeast"/>
        <w:ind w:left="1440"/>
        <w:jc w:val="both"/>
        <w:rPr>
          <w:rFonts w:ascii="Times New Roman" w:hAnsi="Times New Roman"/>
          <w:sz w:val="26"/>
          <w:szCs w:val="26"/>
          <w:lang w:val="es-ES"/>
        </w:rPr>
      </w:pPr>
      <w:hyperlink r:id="rId157" w:anchor="a32b" w:history="1">
        <w:r w:rsidRPr="0065590D">
          <w:rPr>
            <w:rStyle w:val="Hipervnculo"/>
            <w:rFonts w:ascii="Times New Roman" w:hAnsi="Times New Roman"/>
            <w:sz w:val="26"/>
            <w:szCs w:val="26"/>
            <w:lang w:val="es-ES"/>
          </w:rPr>
          <w:t>Art. 32 ter del Decreto-legislativo asturiano 2/2014</w:t>
        </w:r>
      </w:hyperlink>
      <w:r>
        <w:rPr>
          <w:rFonts w:ascii="Times New Roman" w:hAnsi="Times New Roman"/>
          <w:sz w:val="26"/>
          <w:szCs w:val="26"/>
          <w:lang w:val="es-ES"/>
        </w:rPr>
        <w:t xml:space="preserve"> </w:t>
      </w:r>
      <w:bookmarkStart w:id="92" w:name="_Hlk155539377"/>
      <w:r>
        <w:rPr>
          <w:rFonts w:ascii="Times New Roman" w:hAnsi="Times New Roman"/>
          <w:sz w:val="26"/>
          <w:szCs w:val="26"/>
          <w:lang w:val="es-ES"/>
        </w:rPr>
        <w:t xml:space="preserve">(tras la reforma por </w:t>
      </w:r>
      <w:hyperlink r:id="rId158" w:history="1">
        <w:r w:rsidRPr="003B6C0B">
          <w:rPr>
            <w:rStyle w:val="Hipervnculo"/>
            <w:rFonts w:ascii="CG Times" w:hAnsi="CG Times"/>
            <w:sz w:val="26"/>
            <w:szCs w:val="26"/>
            <w:lang w:val="es-ES"/>
          </w:rPr>
          <w:t>Ley 4/2023</w:t>
        </w:r>
      </w:hyperlink>
      <w:r>
        <w:rPr>
          <w:rFonts w:ascii="Times New Roman" w:hAnsi="Times New Roman"/>
          <w:sz w:val="26"/>
          <w:szCs w:val="26"/>
          <w:lang w:val="es-ES"/>
        </w:rPr>
        <w:t>, en vigor desde el 1 de enero de 2024)</w:t>
      </w:r>
      <w:bookmarkEnd w:id="92"/>
      <w:r>
        <w:rPr>
          <w:rFonts w:ascii="Times New Roman" w:hAnsi="Times New Roman"/>
          <w:sz w:val="26"/>
          <w:szCs w:val="26"/>
          <w:lang w:val="es-ES"/>
        </w:rPr>
        <w:t>: A las transmisiones inter vivos de suelo rústico se les aplicará una deducción del 100% de la cuota, salvo en los supuestos en que sobre el suelo rústico exista una construcción que no esté afecta a una explotación agraria o ganadera en funcionamiento.</w:t>
      </w:r>
    </w:p>
    <w:p w14:paraId="629A53DF" w14:textId="77777777" w:rsidR="00DE4C71" w:rsidRPr="00637DC8" w:rsidRDefault="00DE4C71" w:rsidP="00C854F8">
      <w:pPr>
        <w:numPr>
          <w:ilvl w:val="2"/>
          <w:numId w:val="15"/>
        </w:numPr>
        <w:tabs>
          <w:tab w:val="num" w:pos="2520"/>
        </w:tabs>
        <w:spacing w:line="280" w:lineRule="atLeast"/>
        <w:jc w:val="both"/>
        <w:rPr>
          <w:b/>
          <w:color w:val="000000"/>
          <w:spacing w:val="6"/>
          <w:sz w:val="26"/>
          <w:szCs w:val="26"/>
        </w:rPr>
      </w:pPr>
      <w:bookmarkStart w:id="93" w:name="Comentarios242"/>
      <w:bookmarkEnd w:id="93"/>
      <w:r>
        <w:rPr>
          <w:b/>
          <w:spacing w:val="6"/>
          <w:sz w:val="26"/>
          <w:szCs w:val="26"/>
        </w:rPr>
        <w:t>Comentarios</w:t>
      </w:r>
    </w:p>
    <w:p w14:paraId="55906C00" w14:textId="77777777" w:rsidR="00DE4C71" w:rsidRDefault="00DE4C71" w:rsidP="00DE4C71">
      <w:pPr>
        <w:spacing w:line="280" w:lineRule="atLeast"/>
        <w:ind w:left="1440"/>
        <w:jc w:val="both"/>
        <w:rPr>
          <w:spacing w:val="6"/>
          <w:sz w:val="26"/>
          <w:szCs w:val="26"/>
        </w:rPr>
      </w:pPr>
      <w:r>
        <w:rPr>
          <w:spacing w:val="6"/>
          <w:sz w:val="26"/>
          <w:szCs w:val="26"/>
        </w:rPr>
        <w:t>A reserva de lo que depare la interpretación administrativa y judicial, puede apuntarse:</w:t>
      </w:r>
    </w:p>
    <w:p w14:paraId="208C1B9C" w14:textId="77777777" w:rsidR="00CF79A5" w:rsidRDefault="00537F5E" w:rsidP="00C854F8">
      <w:pPr>
        <w:numPr>
          <w:ilvl w:val="0"/>
          <w:numId w:val="34"/>
        </w:numPr>
        <w:spacing w:line="280" w:lineRule="atLeast"/>
        <w:jc w:val="both"/>
        <w:rPr>
          <w:color w:val="000000"/>
          <w:spacing w:val="6"/>
          <w:sz w:val="26"/>
          <w:szCs w:val="26"/>
        </w:rPr>
      </w:pPr>
      <w:r>
        <w:rPr>
          <w:color w:val="000000"/>
          <w:spacing w:val="6"/>
          <w:sz w:val="26"/>
          <w:szCs w:val="26"/>
        </w:rPr>
        <w:t xml:space="preserve">Según </w:t>
      </w:r>
      <w:bookmarkStart w:id="94" w:name="_Hlk216370169"/>
      <w:r>
        <w:rPr>
          <w:color w:val="000000"/>
          <w:spacing w:val="6"/>
          <w:sz w:val="26"/>
          <w:szCs w:val="26"/>
        </w:rPr>
        <w:t xml:space="preserve">la Resolución de la Dirección General de Presupuestos y Finanzas de 20 de mayo de 2024 </w:t>
      </w:r>
      <w:bookmarkEnd w:id="94"/>
      <w:r>
        <w:rPr>
          <w:color w:val="000000"/>
          <w:spacing w:val="6"/>
          <w:sz w:val="26"/>
          <w:szCs w:val="26"/>
        </w:rPr>
        <w:t>hay que atender a que en el Catastro figure como rústica, con independencia de que tenga la condición de edificable</w:t>
      </w:r>
      <w:r w:rsidR="00012574">
        <w:rPr>
          <w:color w:val="000000"/>
          <w:spacing w:val="6"/>
          <w:sz w:val="26"/>
          <w:szCs w:val="26"/>
        </w:rPr>
        <w:t>.</w:t>
      </w:r>
    </w:p>
    <w:p w14:paraId="3A0C00D2" w14:textId="77777777" w:rsidR="00222AD1" w:rsidRDefault="00222AD1" w:rsidP="00C854F8">
      <w:pPr>
        <w:numPr>
          <w:ilvl w:val="0"/>
          <w:numId w:val="34"/>
        </w:numPr>
        <w:spacing w:line="280" w:lineRule="atLeast"/>
        <w:jc w:val="both"/>
        <w:rPr>
          <w:color w:val="000000"/>
          <w:spacing w:val="6"/>
          <w:sz w:val="26"/>
          <w:szCs w:val="26"/>
        </w:rPr>
      </w:pPr>
      <w:r>
        <w:rPr>
          <w:color w:val="000000"/>
          <w:spacing w:val="6"/>
          <w:sz w:val="26"/>
          <w:szCs w:val="26"/>
        </w:rPr>
        <w:t xml:space="preserve">La Resolución de la Dirección General de Presupuestos y Finanzas de 20 de mayo de 2024 excluye cualquier tipo de edificación, aunque sea de escasa entidad como cuadras y tendejones. </w:t>
      </w:r>
      <w:r w:rsidRPr="00222AD1">
        <w:rPr>
          <w:color w:val="000000"/>
          <w:spacing w:val="6"/>
          <w:sz w:val="26"/>
          <w:szCs w:val="26"/>
        </w:rPr>
        <w:t>También excluye hórreos, paneras y cabazos, a pesar de su carácter mueble y supuestamente desmontable</w:t>
      </w:r>
      <w:r w:rsidR="00002F9E">
        <w:rPr>
          <w:color w:val="000000"/>
          <w:spacing w:val="6"/>
          <w:sz w:val="26"/>
          <w:szCs w:val="26"/>
        </w:rPr>
        <w:t>.</w:t>
      </w:r>
    </w:p>
    <w:p w14:paraId="79884743" w14:textId="77777777" w:rsidR="00F843C3" w:rsidRDefault="00F843C3" w:rsidP="00C854F8">
      <w:pPr>
        <w:numPr>
          <w:ilvl w:val="0"/>
          <w:numId w:val="34"/>
        </w:numPr>
        <w:spacing w:line="280" w:lineRule="atLeast"/>
        <w:jc w:val="both"/>
        <w:rPr>
          <w:color w:val="000000"/>
          <w:spacing w:val="6"/>
          <w:sz w:val="26"/>
          <w:szCs w:val="26"/>
        </w:rPr>
      </w:pPr>
      <w:r>
        <w:rPr>
          <w:color w:val="000000"/>
          <w:spacing w:val="6"/>
          <w:sz w:val="26"/>
          <w:szCs w:val="26"/>
        </w:rPr>
        <w:t>Para la Resolución de la Dirección General de Presupuestos y Finanzas de 20 de mayo de 2024 en caso de que la finca sea en parte rústica y en parte urbana no se aplica la deducción, sin que quepan prorrateos.</w:t>
      </w:r>
    </w:p>
    <w:p w14:paraId="7C22C069" w14:textId="77777777" w:rsidR="008529D4" w:rsidRDefault="008529D4" w:rsidP="00C854F8">
      <w:pPr>
        <w:numPr>
          <w:ilvl w:val="0"/>
          <w:numId w:val="34"/>
        </w:numPr>
        <w:spacing w:line="280" w:lineRule="atLeast"/>
        <w:jc w:val="both"/>
        <w:rPr>
          <w:color w:val="000000"/>
          <w:spacing w:val="6"/>
          <w:sz w:val="26"/>
          <w:szCs w:val="26"/>
        </w:rPr>
      </w:pPr>
      <w:r>
        <w:rPr>
          <w:color w:val="000000"/>
          <w:spacing w:val="6"/>
          <w:sz w:val="26"/>
          <w:szCs w:val="26"/>
        </w:rPr>
        <w:t>No siendo siempre fácil la determinación del carácter rústico del suelo por la existencia de figuras intermedias, es la parte adquirente quien ha de realizar la correspondiente manifestación</w:t>
      </w:r>
      <w:r w:rsidR="00B91606">
        <w:rPr>
          <w:color w:val="000000"/>
          <w:spacing w:val="6"/>
          <w:sz w:val="26"/>
          <w:szCs w:val="26"/>
        </w:rPr>
        <w:t xml:space="preserve"> fiscal</w:t>
      </w:r>
      <w:r>
        <w:rPr>
          <w:color w:val="000000"/>
          <w:spacing w:val="6"/>
          <w:sz w:val="26"/>
          <w:szCs w:val="26"/>
        </w:rPr>
        <w:t xml:space="preserve"> al respecto, sin perjuicio de la que incumba a ambas partes a efectos civiles.</w:t>
      </w:r>
    </w:p>
    <w:p w14:paraId="5C3C6BB6" w14:textId="77777777" w:rsidR="00DE4C71" w:rsidRDefault="00012574" w:rsidP="00C854F8">
      <w:pPr>
        <w:numPr>
          <w:ilvl w:val="0"/>
          <w:numId w:val="34"/>
        </w:numPr>
        <w:spacing w:line="280" w:lineRule="atLeast"/>
        <w:jc w:val="both"/>
        <w:rPr>
          <w:color w:val="000000"/>
          <w:spacing w:val="6"/>
          <w:sz w:val="26"/>
          <w:szCs w:val="26"/>
        </w:rPr>
      </w:pPr>
      <w:r w:rsidRPr="00012574">
        <w:rPr>
          <w:color w:val="000000"/>
          <w:spacing w:val="6"/>
          <w:sz w:val="26"/>
          <w:szCs w:val="26"/>
        </w:rPr>
        <w:t>No es preciso que el adquirente sea agricultor o ganadero.</w:t>
      </w:r>
    </w:p>
    <w:p w14:paraId="14FD10CB" w14:textId="77777777" w:rsidR="008529D4" w:rsidRPr="00222AD1" w:rsidRDefault="008529D4" w:rsidP="00C854F8">
      <w:pPr>
        <w:numPr>
          <w:ilvl w:val="0"/>
          <w:numId w:val="34"/>
        </w:numPr>
        <w:spacing w:line="280" w:lineRule="atLeast"/>
        <w:jc w:val="both"/>
        <w:rPr>
          <w:color w:val="000000"/>
          <w:spacing w:val="6"/>
          <w:sz w:val="26"/>
          <w:szCs w:val="26"/>
        </w:rPr>
      </w:pPr>
      <w:r w:rsidRPr="00222AD1">
        <w:rPr>
          <w:color w:val="000000"/>
          <w:spacing w:val="6"/>
          <w:sz w:val="26"/>
          <w:szCs w:val="26"/>
        </w:rPr>
        <w:t>Por el contrario, la existencia de una construcción excluye la deducción</w:t>
      </w:r>
      <w:r w:rsidR="000A43B0" w:rsidRPr="00222AD1">
        <w:rPr>
          <w:color w:val="000000"/>
          <w:spacing w:val="6"/>
          <w:sz w:val="26"/>
          <w:szCs w:val="26"/>
        </w:rPr>
        <w:t>,</w:t>
      </w:r>
      <w:r w:rsidRPr="00222AD1">
        <w:rPr>
          <w:color w:val="000000"/>
          <w:spacing w:val="6"/>
          <w:sz w:val="26"/>
          <w:szCs w:val="26"/>
        </w:rPr>
        <w:t xml:space="preserve"> aunque </w:t>
      </w:r>
      <w:r w:rsidR="000A43B0" w:rsidRPr="00222AD1">
        <w:rPr>
          <w:color w:val="000000"/>
          <w:spacing w:val="6"/>
          <w:sz w:val="26"/>
          <w:szCs w:val="26"/>
        </w:rPr>
        <w:t>tenga carácter agrario o ganadero, si no está afecta a una explotación en funcionamiento</w:t>
      </w:r>
      <w:r w:rsidR="00222AD1" w:rsidRPr="00222AD1">
        <w:rPr>
          <w:color w:val="000000"/>
          <w:spacing w:val="6"/>
          <w:sz w:val="26"/>
          <w:szCs w:val="26"/>
        </w:rPr>
        <w:t>; no siendo</w:t>
      </w:r>
      <w:r w:rsidR="00222AD1">
        <w:rPr>
          <w:color w:val="000000"/>
          <w:spacing w:val="6"/>
          <w:sz w:val="26"/>
          <w:szCs w:val="26"/>
        </w:rPr>
        <w:t xml:space="preserve"> preciso para</w:t>
      </w:r>
      <w:r w:rsidRPr="00222AD1">
        <w:rPr>
          <w:color w:val="000000"/>
          <w:spacing w:val="6"/>
          <w:sz w:val="26"/>
          <w:szCs w:val="26"/>
        </w:rPr>
        <w:t xml:space="preserve"> </w:t>
      </w:r>
      <w:r w:rsidR="00222AD1">
        <w:rPr>
          <w:color w:val="000000"/>
          <w:spacing w:val="6"/>
          <w:sz w:val="26"/>
          <w:szCs w:val="26"/>
        </w:rPr>
        <w:t>tal</w:t>
      </w:r>
      <w:r w:rsidRPr="00222AD1">
        <w:rPr>
          <w:color w:val="000000"/>
          <w:spacing w:val="6"/>
          <w:sz w:val="26"/>
          <w:szCs w:val="26"/>
        </w:rPr>
        <w:t xml:space="preserve"> exclusión de la deducción que la construcción conste declarada e inscrita en el Registro de la Propiedad, sino que basta con que exista.</w:t>
      </w:r>
    </w:p>
    <w:p w14:paraId="4B79EFE5" w14:textId="77777777" w:rsidR="009A0A17" w:rsidRDefault="00537F5E" w:rsidP="00C854F8">
      <w:pPr>
        <w:numPr>
          <w:ilvl w:val="0"/>
          <w:numId w:val="34"/>
        </w:numPr>
        <w:spacing w:line="280" w:lineRule="atLeast"/>
        <w:jc w:val="both"/>
        <w:rPr>
          <w:color w:val="000000"/>
          <w:spacing w:val="6"/>
          <w:sz w:val="26"/>
          <w:szCs w:val="26"/>
        </w:rPr>
      </w:pPr>
      <w:r>
        <w:rPr>
          <w:color w:val="000000"/>
          <w:spacing w:val="6"/>
          <w:sz w:val="26"/>
          <w:szCs w:val="26"/>
        </w:rPr>
        <w:t>Según contestación oficiosa, l</w:t>
      </w:r>
      <w:r w:rsidR="009A0A17">
        <w:rPr>
          <w:color w:val="000000"/>
          <w:spacing w:val="6"/>
          <w:sz w:val="26"/>
          <w:szCs w:val="26"/>
        </w:rPr>
        <w:t>a deducción es aplicable también a los excesos de adjudicación</w:t>
      </w:r>
      <w:r w:rsidR="00653002">
        <w:rPr>
          <w:color w:val="000000"/>
          <w:spacing w:val="6"/>
          <w:sz w:val="26"/>
          <w:szCs w:val="26"/>
        </w:rPr>
        <w:t xml:space="preserve"> onerosos</w:t>
      </w:r>
      <w:r w:rsidR="009A0A17">
        <w:rPr>
          <w:color w:val="000000"/>
          <w:spacing w:val="6"/>
          <w:sz w:val="26"/>
          <w:szCs w:val="26"/>
        </w:rPr>
        <w:t xml:space="preserve"> derivados de particiones hereditarias y extinciones de condominio, en los que no sea aplicable la excepción de indivisibilidad.</w:t>
      </w:r>
    </w:p>
    <w:p w14:paraId="1FF50E38" w14:textId="77777777" w:rsidR="00000FCC" w:rsidRDefault="00000FCC" w:rsidP="00C854F8">
      <w:pPr>
        <w:numPr>
          <w:ilvl w:val="0"/>
          <w:numId w:val="40"/>
        </w:numPr>
        <w:spacing w:line="280" w:lineRule="atLeast"/>
        <w:jc w:val="both"/>
        <w:rPr>
          <w:spacing w:val="6"/>
          <w:sz w:val="26"/>
          <w:szCs w:val="26"/>
        </w:rPr>
      </w:pPr>
      <w:r>
        <w:rPr>
          <w:spacing w:val="6"/>
          <w:sz w:val="26"/>
          <w:szCs w:val="26"/>
        </w:rPr>
        <w:t>Parece que el tipo reducido se extiende a los precontratos y opciones cuando fuere aplicable a la transmisión derivada del contrato principal.</w:t>
      </w:r>
    </w:p>
    <w:p w14:paraId="172F2EA6" w14:textId="77777777" w:rsidR="006419F3" w:rsidRPr="00902F6E" w:rsidRDefault="006419F3" w:rsidP="00C854F8">
      <w:pPr>
        <w:numPr>
          <w:ilvl w:val="0"/>
          <w:numId w:val="40"/>
        </w:numPr>
        <w:spacing w:line="280" w:lineRule="atLeast"/>
        <w:jc w:val="both"/>
        <w:rPr>
          <w:spacing w:val="6"/>
          <w:sz w:val="26"/>
          <w:szCs w:val="26"/>
        </w:rPr>
      </w:pPr>
      <w:r>
        <w:rPr>
          <w:spacing w:val="6"/>
          <w:sz w:val="26"/>
          <w:szCs w:val="26"/>
        </w:rPr>
        <w:t>¿Es aplicable a los reconocimientos de dominio?</w:t>
      </w:r>
    </w:p>
    <w:p w14:paraId="081D418B" w14:textId="77777777" w:rsidR="00000FCC" w:rsidRPr="00000FCC" w:rsidRDefault="00000FCC" w:rsidP="00C854F8">
      <w:pPr>
        <w:numPr>
          <w:ilvl w:val="0"/>
          <w:numId w:val="39"/>
        </w:numPr>
        <w:spacing w:line="280" w:lineRule="atLeast"/>
        <w:jc w:val="both"/>
        <w:rPr>
          <w:spacing w:val="6"/>
          <w:sz w:val="26"/>
          <w:szCs w:val="26"/>
        </w:rPr>
      </w:pPr>
      <w:r>
        <w:rPr>
          <w:spacing w:val="6"/>
          <w:sz w:val="26"/>
          <w:szCs w:val="26"/>
        </w:rPr>
        <w:t xml:space="preserve">Afecta sólo a la modalidad de Transmisiones Patrimoniales Onerosas, pero no a la de Actos Jurídicos Documentados, por </w:t>
      </w:r>
      <w:r>
        <w:rPr>
          <w:spacing w:val="6"/>
          <w:sz w:val="26"/>
          <w:szCs w:val="26"/>
        </w:rPr>
        <w:lastRenderedPageBreak/>
        <w:t>lo que no sería de aplicación a las agrupaciones, como ocurre en Galicia.</w:t>
      </w:r>
    </w:p>
    <w:p w14:paraId="65681D8D" w14:textId="77777777" w:rsidR="00637DC8" w:rsidRPr="00015278" w:rsidRDefault="00637DC8" w:rsidP="00C854F8">
      <w:pPr>
        <w:numPr>
          <w:ilvl w:val="2"/>
          <w:numId w:val="15"/>
        </w:numPr>
        <w:tabs>
          <w:tab w:val="num" w:pos="2520"/>
        </w:tabs>
        <w:spacing w:line="280" w:lineRule="atLeast"/>
        <w:jc w:val="both"/>
        <w:rPr>
          <w:b/>
          <w:color w:val="000000"/>
          <w:spacing w:val="6"/>
          <w:sz w:val="26"/>
          <w:szCs w:val="26"/>
        </w:rPr>
      </w:pPr>
      <w:bookmarkStart w:id="95" w:name="tratamiento242"/>
      <w:bookmarkEnd w:id="95"/>
      <w:r>
        <w:rPr>
          <w:b/>
          <w:spacing w:val="6"/>
          <w:sz w:val="26"/>
          <w:szCs w:val="26"/>
        </w:rPr>
        <w:t>Tratamiento notarial</w:t>
      </w:r>
    </w:p>
    <w:p w14:paraId="6642A2EE" w14:textId="77777777" w:rsidR="002527A2" w:rsidRPr="005669C4" w:rsidRDefault="002527A2" w:rsidP="00C854F8">
      <w:pPr>
        <w:numPr>
          <w:ilvl w:val="0"/>
          <w:numId w:val="34"/>
        </w:numPr>
        <w:spacing w:line="280" w:lineRule="atLeast"/>
        <w:jc w:val="both"/>
        <w:rPr>
          <w:spacing w:val="6"/>
          <w:sz w:val="26"/>
          <w:szCs w:val="26"/>
          <w:u w:val="single"/>
        </w:rPr>
      </w:pPr>
      <w:r>
        <w:rPr>
          <w:rFonts w:ascii="CG Times" w:hAnsi="CG Times"/>
          <w:sz w:val="26"/>
          <w:szCs w:val="26"/>
        </w:rPr>
        <w:t>Incluir la siguiente cláusula en la Exposición:</w:t>
      </w:r>
    </w:p>
    <w:p w14:paraId="25717634" w14:textId="77777777" w:rsidR="002527A2" w:rsidRPr="00C7515A" w:rsidRDefault="002527A2" w:rsidP="002527A2">
      <w:pPr>
        <w:spacing w:line="280" w:lineRule="atLeast"/>
        <w:ind w:left="1800"/>
        <w:jc w:val="both"/>
        <w:rPr>
          <w:spacing w:val="6"/>
          <w:sz w:val="26"/>
          <w:szCs w:val="26"/>
          <w:u w:val="single"/>
        </w:rPr>
      </w:pPr>
      <w:r w:rsidRPr="00C7515A">
        <w:rPr>
          <w:rFonts w:ascii="CG Times" w:hAnsi="CG Times"/>
          <w:b/>
          <w:sz w:val="26"/>
          <w:szCs w:val="26"/>
        </w:rPr>
        <w:t>E) Declaraciones fiscales.-</w:t>
      </w:r>
      <w:r w:rsidRPr="00C7515A">
        <w:rPr>
          <w:rFonts w:ascii="CG Times" w:hAnsi="CG Times"/>
          <w:sz w:val="26"/>
          <w:szCs w:val="26"/>
        </w:rPr>
        <w:t xml:space="preserve"> </w:t>
      </w:r>
      <w:bookmarkStart w:id="96" w:name="_Hlk181098259"/>
      <w:r w:rsidRPr="00C7515A">
        <w:rPr>
          <w:rFonts w:ascii="CG Times" w:hAnsi="CG Times"/>
          <w:sz w:val="26"/>
          <w:szCs w:val="26"/>
        </w:rPr>
        <w:t xml:space="preserve">A los efectos previstos en el </w:t>
      </w:r>
      <w:r w:rsidRPr="00B6394D">
        <w:rPr>
          <w:rFonts w:ascii="Times New Roman" w:hAnsi="Times New Roman"/>
          <w:sz w:val="26"/>
          <w:szCs w:val="26"/>
          <w:lang w:val="es-ES"/>
        </w:rPr>
        <w:t xml:space="preserve">art. 32 </w:t>
      </w:r>
      <w:r>
        <w:rPr>
          <w:rFonts w:ascii="Times New Roman" w:hAnsi="Times New Roman"/>
          <w:sz w:val="26"/>
          <w:szCs w:val="26"/>
          <w:lang w:val="es-ES"/>
        </w:rPr>
        <w:t>ter</w:t>
      </w:r>
      <w:r w:rsidRPr="00B6394D">
        <w:rPr>
          <w:rFonts w:ascii="Times New Roman" w:hAnsi="Times New Roman"/>
          <w:sz w:val="26"/>
          <w:szCs w:val="26"/>
          <w:lang w:val="es-ES"/>
        </w:rPr>
        <w:t xml:space="preserve"> del Decreto-legislativo asturiano 2/2014</w:t>
      </w:r>
      <w:r w:rsidRPr="00C7515A">
        <w:rPr>
          <w:rFonts w:ascii="CG Times" w:hAnsi="CG Times"/>
          <w:sz w:val="26"/>
          <w:szCs w:val="26"/>
        </w:rPr>
        <w:t xml:space="preserve">, el/la/los adquirente/s *** manifiesta/n que le/s es de aplicación </w:t>
      </w:r>
      <w:r>
        <w:rPr>
          <w:rFonts w:ascii="CG Times" w:hAnsi="CG Times"/>
          <w:sz w:val="26"/>
          <w:szCs w:val="26"/>
        </w:rPr>
        <w:t>la deducción del 100% en la cuota d</w:t>
      </w:r>
      <w:r w:rsidRPr="00C7515A">
        <w:rPr>
          <w:rFonts w:ascii="CG Times" w:hAnsi="CG Times"/>
          <w:sz w:val="26"/>
          <w:szCs w:val="26"/>
        </w:rPr>
        <w:t>el Impuesto sobre Transmisio</w:t>
      </w:r>
      <w:r>
        <w:rPr>
          <w:rFonts w:ascii="CG Times" w:hAnsi="CG Times"/>
          <w:sz w:val="26"/>
          <w:szCs w:val="26"/>
        </w:rPr>
        <w:t>nes Patrimoniales Onerosas</w:t>
      </w:r>
      <w:r w:rsidRPr="00C7515A">
        <w:rPr>
          <w:rFonts w:ascii="CG Times" w:hAnsi="CG Times"/>
          <w:sz w:val="26"/>
          <w:szCs w:val="26"/>
        </w:rPr>
        <w:t>, pues:</w:t>
      </w:r>
    </w:p>
    <w:p w14:paraId="0CD07865" w14:textId="77777777" w:rsidR="002527A2" w:rsidRDefault="002527A2" w:rsidP="002527A2">
      <w:pPr>
        <w:ind w:left="1800"/>
        <w:jc w:val="both"/>
        <w:rPr>
          <w:rFonts w:ascii="CG Times" w:hAnsi="CG Times"/>
          <w:sz w:val="26"/>
          <w:szCs w:val="26"/>
        </w:rPr>
      </w:pPr>
      <w:r>
        <w:rPr>
          <w:rFonts w:ascii="CG Times" w:hAnsi="CG Times"/>
          <w:sz w:val="26"/>
          <w:szCs w:val="26"/>
        </w:rPr>
        <w:t xml:space="preserve">- Se trata de una transmisión de </w:t>
      </w:r>
      <w:r w:rsidR="00541322">
        <w:rPr>
          <w:rFonts w:ascii="CG Times" w:hAnsi="CG Times"/>
          <w:sz w:val="26"/>
          <w:szCs w:val="26"/>
        </w:rPr>
        <w:t xml:space="preserve">*** </w:t>
      </w:r>
      <w:r>
        <w:rPr>
          <w:rFonts w:ascii="CG Times" w:hAnsi="CG Times"/>
          <w:sz w:val="26"/>
          <w:szCs w:val="26"/>
        </w:rPr>
        <w:t>suelo rústico</w:t>
      </w:r>
      <w:r w:rsidR="00541322">
        <w:rPr>
          <w:rFonts w:ascii="CG Times" w:hAnsi="CG Times"/>
          <w:sz w:val="26"/>
          <w:szCs w:val="26"/>
        </w:rPr>
        <w:t xml:space="preserve"> ***catalogado como rústico por el Catastro, con independencia de su edificabilidad (Resolución de la Dirección General de Presupuestos y Finanzas de la Consejería de Hacienda y Fondos Europeos del Gobierno del Principado de Asturias de 20 de mayo de 2024), advirtiendo a la parte adquirente de que se trata de una consulta vinculante sólo en relación a quien la hizo.</w:t>
      </w:r>
    </w:p>
    <w:p w14:paraId="34A76374" w14:textId="77777777" w:rsidR="002527A2" w:rsidRDefault="002527A2" w:rsidP="00A327E6">
      <w:pPr>
        <w:spacing w:after="60"/>
        <w:ind w:left="1797"/>
        <w:jc w:val="both"/>
        <w:rPr>
          <w:rFonts w:ascii="CG Times" w:hAnsi="CG Times"/>
          <w:sz w:val="26"/>
          <w:szCs w:val="26"/>
        </w:rPr>
      </w:pPr>
      <w:r>
        <w:rPr>
          <w:rFonts w:ascii="CG Times" w:hAnsi="CG Times"/>
          <w:sz w:val="26"/>
          <w:szCs w:val="26"/>
        </w:rPr>
        <w:t>- No existe una construcción que no esté afecta a una explotación agraria o ganadera en funcionamiento.</w:t>
      </w:r>
    </w:p>
    <w:p w14:paraId="149F2BCA" w14:textId="77777777" w:rsidR="00A327E6" w:rsidRPr="00A327E6" w:rsidRDefault="00A327E6" w:rsidP="00C854F8">
      <w:pPr>
        <w:numPr>
          <w:ilvl w:val="1"/>
          <w:numId w:val="15"/>
        </w:numPr>
        <w:tabs>
          <w:tab w:val="num" w:pos="1440"/>
          <w:tab w:val="num" w:pos="2520"/>
        </w:tabs>
        <w:spacing w:line="280" w:lineRule="atLeast"/>
        <w:jc w:val="both"/>
        <w:rPr>
          <w:b/>
          <w:color w:val="000000"/>
          <w:spacing w:val="6"/>
          <w:sz w:val="26"/>
          <w:szCs w:val="26"/>
        </w:rPr>
      </w:pPr>
      <w:bookmarkStart w:id="97" w:name="construcción25"/>
      <w:bookmarkEnd w:id="97"/>
      <w:bookmarkEnd w:id="72"/>
      <w:bookmarkEnd w:id="96"/>
      <w:r>
        <w:rPr>
          <w:b/>
          <w:spacing w:val="6"/>
          <w:sz w:val="26"/>
          <w:szCs w:val="26"/>
        </w:rPr>
        <w:t>Deducción 100% en TPO y en AJD para la construcción de vivienda protegida</w:t>
      </w:r>
      <w:r w:rsidR="001F2906">
        <w:rPr>
          <w:b/>
          <w:spacing w:val="6"/>
          <w:sz w:val="26"/>
          <w:szCs w:val="26"/>
        </w:rPr>
        <w:t xml:space="preserve"> estatal y autonómica</w:t>
      </w:r>
    </w:p>
    <w:p w14:paraId="395FA545" w14:textId="77777777" w:rsidR="00A327E6" w:rsidRPr="00637DC8" w:rsidRDefault="00A327E6" w:rsidP="00C854F8">
      <w:pPr>
        <w:numPr>
          <w:ilvl w:val="2"/>
          <w:numId w:val="15"/>
        </w:numPr>
        <w:tabs>
          <w:tab w:val="num" w:pos="2520"/>
        </w:tabs>
        <w:spacing w:line="280" w:lineRule="atLeast"/>
        <w:jc w:val="both"/>
        <w:rPr>
          <w:b/>
          <w:color w:val="000000"/>
          <w:spacing w:val="6"/>
          <w:sz w:val="26"/>
          <w:szCs w:val="26"/>
        </w:rPr>
      </w:pPr>
      <w:bookmarkStart w:id="98" w:name="normativa251"/>
      <w:bookmarkEnd w:id="98"/>
      <w:r>
        <w:rPr>
          <w:b/>
          <w:spacing w:val="6"/>
          <w:sz w:val="26"/>
          <w:szCs w:val="26"/>
        </w:rPr>
        <w:t>Normativa vigente</w:t>
      </w:r>
    </w:p>
    <w:bookmarkStart w:id="99" w:name="_Hlk155543538"/>
    <w:p w14:paraId="25542D72" w14:textId="77777777" w:rsidR="002A040E" w:rsidRDefault="00E84CFF" w:rsidP="00BE3238">
      <w:pPr>
        <w:tabs>
          <w:tab w:val="num" w:pos="2520"/>
        </w:tabs>
        <w:spacing w:line="280" w:lineRule="atLeast"/>
        <w:ind w:left="1440"/>
        <w:jc w:val="both"/>
        <w:rPr>
          <w:rFonts w:ascii="Times New Roman" w:hAnsi="Times New Roman"/>
          <w:sz w:val="26"/>
          <w:szCs w:val="26"/>
          <w:lang w:val="es-ES"/>
        </w:rPr>
      </w:pPr>
      <w:r>
        <w:rPr>
          <w:rFonts w:ascii="Times New Roman" w:hAnsi="Times New Roman"/>
          <w:sz w:val="26"/>
          <w:szCs w:val="26"/>
          <w:lang w:val="es-ES"/>
        </w:rPr>
        <w:fldChar w:fldCharType="begin"/>
      </w:r>
      <w:r>
        <w:rPr>
          <w:rFonts w:ascii="Times New Roman" w:hAnsi="Times New Roman"/>
          <w:sz w:val="26"/>
          <w:szCs w:val="26"/>
          <w:lang w:val="es-ES"/>
        </w:rPr>
        <w:instrText>HYPERLINK "https://noticias.juridicas.com/base_datos/CCAA/538599-decreto-legislativo-2-2014-de-22-de-octubre-por-el-que-se-aprueba-el-texto.html" \l "a32b"</w:instrText>
      </w:r>
      <w:r>
        <w:rPr>
          <w:rFonts w:ascii="Times New Roman" w:hAnsi="Times New Roman"/>
          <w:sz w:val="26"/>
          <w:szCs w:val="26"/>
          <w:lang w:val="es-ES"/>
        </w:rPr>
      </w:r>
      <w:r>
        <w:rPr>
          <w:rFonts w:ascii="Times New Roman" w:hAnsi="Times New Roman"/>
          <w:sz w:val="26"/>
          <w:szCs w:val="26"/>
          <w:lang w:val="es-ES"/>
        </w:rPr>
        <w:fldChar w:fldCharType="separate"/>
      </w:r>
      <w:r w:rsidR="00BE3238" w:rsidRPr="00E84CFF">
        <w:rPr>
          <w:rStyle w:val="Hipervnculo"/>
          <w:rFonts w:ascii="Times New Roman" w:hAnsi="Times New Roman"/>
          <w:sz w:val="26"/>
          <w:szCs w:val="26"/>
          <w:lang w:val="es-ES"/>
        </w:rPr>
        <w:t>Arts. 32 sexties y 39 bis del Decreto-legislativo asturiano 2/2014</w:t>
      </w:r>
      <w:r>
        <w:rPr>
          <w:rFonts w:ascii="Times New Roman" w:hAnsi="Times New Roman"/>
          <w:sz w:val="26"/>
          <w:szCs w:val="26"/>
          <w:lang w:val="es-ES"/>
        </w:rPr>
        <w:fldChar w:fldCharType="end"/>
      </w:r>
      <w:r w:rsidR="00BE3238">
        <w:rPr>
          <w:rFonts w:ascii="Times New Roman" w:hAnsi="Times New Roman"/>
          <w:sz w:val="26"/>
          <w:szCs w:val="26"/>
          <w:lang w:val="es-ES"/>
        </w:rPr>
        <w:t xml:space="preserve"> (tras la reforma por </w:t>
      </w:r>
      <w:hyperlink r:id="rId159" w:history="1">
        <w:r w:rsidR="00BE3238" w:rsidRPr="003B6C0B">
          <w:rPr>
            <w:rStyle w:val="Hipervnculo"/>
            <w:rFonts w:ascii="CG Times" w:hAnsi="CG Times"/>
            <w:sz w:val="26"/>
            <w:szCs w:val="26"/>
            <w:lang w:val="es-ES"/>
          </w:rPr>
          <w:t>Ley 4/2023</w:t>
        </w:r>
      </w:hyperlink>
      <w:r w:rsidR="00BE3238">
        <w:rPr>
          <w:rFonts w:ascii="Times New Roman" w:hAnsi="Times New Roman"/>
          <w:sz w:val="26"/>
          <w:szCs w:val="26"/>
          <w:lang w:val="es-ES"/>
        </w:rPr>
        <w:t>, en vigor desde el 1 de enero de 2024)</w:t>
      </w:r>
      <w:bookmarkEnd w:id="99"/>
      <w:r w:rsidR="00BE3238">
        <w:rPr>
          <w:rFonts w:ascii="Times New Roman" w:hAnsi="Times New Roman"/>
          <w:sz w:val="26"/>
          <w:szCs w:val="26"/>
          <w:lang w:val="es-ES"/>
        </w:rPr>
        <w:t>: A las transmisiones de terrenos, solares y derechos de superficie para la construcción de vivienda protegida estatal o autonómica, así como en la formalización de todos los actos relacionados con dicha construcción, se les aplicará una deducción del 100% en la cuota de TPO y de AJD</w:t>
      </w:r>
      <w:r w:rsidR="002A040E">
        <w:rPr>
          <w:rFonts w:ascii="Times New Roman" w:hAnsi="Times New Roman"/>
          <w:sz w:val="26"/>
          <w:szCs w:val="26"/>
          <w:lang w:val="es-ES"/>
        </w:rPr>
        <w:t>, siempre que se cumplan los siguientes requisitos:</w:t>
      </w:r>
    </w:p>
    <w:p w14:paraId="29603F0A" w14:textId="77777777" w:rsidR="00BE3238" w:rsidRDefault="002A040E" w:rsidP="00C854F8">
      <w:pPr>
        <w:numPr>
          <w:ilvl w:val="0"/>
          <w:numId w:val="34"/>
        </w:numPr>
        <w:spacing w:line="280" w:lineRule="atLeast"/>
        <w:jc w:val="both"/>
        <w:rPr>
          <w:color w:val="000000"/>
          <w:spacing w:val="6"/>
          <w:sz w:val="26"/>
          <w:szCs w:val="26"/>
        </w:rPr>
      </w:pPr>
      <w:r w:rsidRPr="002A040E">
        <w:rPr>
          <w:color w:val="000000"/>
          <w:spacing w:val="6"/>
          <w:sz w:val="26"/>
          <w:szCs w:val="26"/>
        </w:rPr>
        <w:t>Se consigne en el documento</w:t>
      </w:r>
      <w:r>
        <w:rPr>
          <w:color w:val="000000"/>
          <w:spacing w:val="6"/>
          <w:sz w:val="26"/>
          <w:szCs w:val="26"/>
        </w:rPr>
        <w:t xml:space="preserve"> tal finalidad.</w:t>
      </w:r>
    </w:p>
    <w:p w14:paraId="6C5F2731" w14:textId="77777777" w:rsidR="002A040E" w:rsidRPr="002A040E" w:rsidRDefault="002A040E" w:rsidP="00C854F8">
      <w:pPr>
        <w:numPr>
          <w:ilvl w:val="0"/>
          <w:numId w:val="34"/>
        </w:numPr>
        <w:spacing w:line="280" w:lineRule="atLeast"/>
        <w:jc w:val="both"/>
        <w:rPr>
          <w:color w:val="000000"/>
          <w:spacing w:val="6"/>
          <w:sz w:val="26"/>
          <w:szCs w:val="26"/>
        </w:rPr>
      </w:pPr>
      <w:r>
        <w:rPr>
          <w:color w:val="000000"/>
          <w:spacing w:val="6"/>
          <w:sz w:val="26"/>
          <w:szCs w:val="26"/>
        </w:rPr>
        <w:t>La calificación o declaración provisional de las vivienda como protegidas se produzca en el plazo de 3 años o de 4 años si se trata de terrenos.</w:t>
      </w:r>
    </w:p>
    <w:p w14:paraId="196F645C" w14:textId="77777777" w:rsidR="002A040E" w:rsidRPr="00637DC8" w:rsidRDefault="002A040E" w:rsidP="00C854F8">
      <w:pPr>
        <w:numPr>
          <w:ilvl w:val="2"/>
          <w:numId w:val="15"/>
        </w:numPr>
        <w:tabs>
          <w:tab w:val="num" w:pos="2520"/>
        </w:tabs>
        <w:spacing w:line="280" w:lineRule="atLeast"/>
        <w:jc w:val="both"/>
        <w:rPr>
          <w:b/>
          <w:color w:val="000000"/>
          <w:spacing w:val="6"/>
          <w:sz w:val="26"/>
          <w:szCs w:val="26"/>
        </w:rPr>
      </w:pPr>
      <w:bookmarkStart w:id="100" w:name="tratamiento252"/>
      <w:bookmarkEnd w:id="100"/>
      <w:r>
        <w:rPr>
          <w:b/>
          <w:spacing w:val="6"/>
          <w:sz w:val="26"/>
          <w:szCs w:val="26"/>
        </w:rPr>
        <w:t>Tratamiento notarial</w:t>
      </w:r>
    </w:p>
    <w:p w14:paraId="6169E414" w14:textId="77777777" w:rsidR="00A327E6" w:rsidRPr="004876CF" w:rsidRDefault="002E387D" w:rsidP="00C854F8">
      <w:pPr>
        <w:numPr>
          <w:ilvl w:val="0"/>
          <w:numId w:val="34"/>
        </w:numPr>
        <w:spacing w:after="60" w:line="280" w:lineRule="atLeast"/>
        <w:ind w:left="1797" w:hanging="357"/>
        <w:jc w:val="both"/>
        <w:rPr>
          <w:rFonts w:ascii="CG Times" w:hAnsi="CG Times"/>
          <w:sz w:val="26"/>
          <w:szCs w:val="26"/>
        </w:rPr>
      </w:pPr>
      <w:r>
        <w:rPr>
          <w:rFonts w:ascii="CG Times" w:hAnsi="CG Times"/>
          <w:sz w:val="26"/>
          <w:szCs w:val="26"/>
        </w:rPr>
        <w:t xml:space="preserve">Incluir la siguiente cláusula en la Exposición: </w:t>
      </w:r>
      <w:r w:rsidRPr="00C7515A">
        <w:rPr>
          <w:rFonts w:ascii="CG Times" w:hAnsi="CG Times"/>
          <w:b/>
          <w:sz w:val="26"/>
          <w:szCs w:val="26"/>
        </w:rPr>
        <w:t>E) Declaraciones fiscales.-</w:t>
      </w:r>
      <w:r w:rsidRPr="00C7515A">
        <w:rPr>
          <w:rFonts w:ascii="CG Times" w:hAnsi="CG Times"/>
          <w:sz w:val="26"/>
          <w:szCs w:val="26"/>
        </w:rPr>
        <w:t xml:space="preserve"> A los efectos previstos en</w:t>
      </w:r>
      <w:r>
        <w:rPr>
          <w:rFonts w:ascii="CG Times" w:hAnsi="CG Times"/>
          <w:sz w:val="26"/>
          <w:szCs w:val="26"/>
        </w:rPr>
        <w:t xml:space="preserve"> los</w:t>
      </w:r>
      <w:r w:rsidRPr="00C7515A">
        <w:rPr>
          <w:rFonts w:ascii="CG Times" w:hAnsi="CG Times"/>
          <w:sz w:val="26"/>
          <w:szCs w:val="26"/>
        </w:rPr>
        <w:t xml:space="preserve"> </w:t>
      </w:r>
      <w:r>
        <w:rPr>
          <w:rFonts w:ascii="Times New Roman" w:hAnsi="Times New Roman"/>
          <w:sz w:val="26"/>
          <w:szCs w:val="26"/>
          <w:lang w:val="es-ES"/>
        </w:rPr>
        <w:t>a</w:t>
      </w:r>
      <w:r w:rsidRPr="00B91E3D">
        <w:rPr>
          <w:rFonts w:ascii="Times New Roman" w:hAnsi="Times New Roman"/>
          <w:sz w:val="26"/>
          <w:szCs w:val="26"/>
          <w:lang w:val="es-ES"/>
        </w:rPr>
        <w:t>rt</w:t>
      </w:r>
      <w:r>
        <w:rPr>
          <w:rFonts w:ascii="Times New Roman" w:hAnsi="Times New Roman"/>
          <w:sz w:val="26"/>
          <w:szCs w:val="26"/>
          <w:lang w:val="es-ES"/>
        </w:rPr>
        <w:t>s</w:t>
      </w:r>
      <w:r w:rsidRPr="00B91E3D">
        <w:rPr>
          <w:rFonts w:ascii="Times New Roman" w:hAnsi="Times New Roman"/>
          <w:sz w:val="26"/>
          <w:szCs w:val="26"/>
          <w:lang w:val="es-ES"/>
        </w:rPr>
        <w:t xml:space="preserve">. 32 </w:t>
      </w:r>
      <w:r>
        <w:rPr>
          <w:rFonts w:ascii="Times New Roman" w:hAnsi="Times New Roman"/>
          <w:sz w:val="26"/>
          <w:szCs w:val="26"/>
          <w:lang w:val="es-ES"/>
        </w:rPr>
        <w:t>sexties</w:t>
      </w:r>
      <w:r w:rsidRPr="00B91E3D">
        <w:rPr>
          <w:rFonts w:ascii="Times New Roman" w:hAnsi="Times New Roman"/>
          <w:sz w:val="26"/>
          <w:szCs w:val="26"/>
          <w:lang w:val="es-ES"/>
        </w:rPr>
        <w:t xml:space="preserve"> </w:t>
      </w:r>
      <w:r>
        <w:rPr>
          <w:rFonts w:ascii="Times New Roman" w:hAnsi="Times New Roman"/>
          <w:sz w:val="26"/>
          <w:szCs w:val="26"/>
          <w:lang w:val="es-ES"/>
        </w:rPr>
        <w:t xml:space="preserve">y 39 bis </w:t>
      </w:r>
      <w:r w:rsidRPr="00B91E3D">
        <w:rPr>
          <w:rFonts w:ascii="Times New Roman" w:hAnsi="Times New Roman"/>
          <w:sz w:val="26"/>
          <w:szCs w:val="26"/>
          <w:lang w:val="es-ES"/>
        </w:rPr>
        <w:t>del Decreto-legislativo asturiano 2/2014</w:t>
      </w:r>
      <w:r>
        <w:rPr>
          <w:rFonts w:ascii="Times New Roman" w:hAnsi="Times New Roman"/>
          <w:sz w:val="26"/>
          <w:szCs w:val="26"/>
          <w:lang w:val="es-ES"/>
        </w:rPr>
        <w:t xml:space="preserve"> (tras la reforma por </w:t>
      </w:r>
      <w:hyperlink r:id="rId160" w:history="1">
        <w:r w:rsidRPr="003B6C0B">
          <w:rPr>
            <w:rStyle w:val="Hipervnculo"/>
            <w:rFonts w:ascii="CG Times" w:hAnsi="CG Times"/>
            <w:sz w:val="26"/>
            <w:szCs w:val="26"/>
            <w:lang w:val="es-ES"/>
          </w:rPr>
          <w:t>Ley 4/2023</w:t>
        </w:r>
      </w:hyperlink>
      <w:r>
        <w:rPr>
          <w:rFonts w:ascii="Times New Roman" w:hAnsi="Times New Roman"/>
          <w:sz w:val="26"/>
          <w:szCs w:val="26"/>
          <w:lang w:val="es-ES"/>
        </w:rPr>
        <w:t>, en vigor desde el 1 de enero de 2024)</w:t>
      </w:r>
      <w:r w:rsidRPr="00C7515A">
        <w:rPr>
          <w:rFonts w:ascii="CG Times" w:hAnsi="CG Times"/>
          <w:sz w:val="26"/>
          <w:szCs w:val="26"/>
        </w:rPr>
        <w:t>, el</w:t>
      </w:r>
      <w:r>
        <w:rPr>
          <w:rFonts w:ascii="CG Times" w:hAnsi="CG Times"/>
          <w:sz w:val="26"/>
          <w:szCs w:val="26"/>
        </w:rPr>
        <w:t xml:space="preserve"> sujeto pasivo</w:t>
      </w:r>
      <w:r w:rsidRPr="00C7515A">
        <w:rPr>
          <w:rFonts w:ascii="CG Times" w:hAnsi="CG Times"/>
          <w:sz w:val="26"/>
          <w:szCs w:val="26"/>
        </w:rPr>
        <w:t xml:space="preserve"> manifiesta que </w:t>
      </w:r>
      <w:r>
        <w:rPr>
          <w:rFonts w:ascii="CG Times" w:hAnsi="CG Times"/>
          <w:sz w:val="26"/>
          <w:szCs w:val="26"/>
        </w:rPr>
        <w:t xml:space="preserve">es aplicable a la </w:t>
      </w:r>
      <w:r w:rsidR="00737B6A">
        <w:rPr>
          <w:rFonts w:ascii="CG Times" w:hAnsi="CG Times"/>
          <w:sz w:val="26"/>
          <w:szCs w:val="26"/>
        </w:rPr>
        <w:t>transmisión</w:t>
      </w:r>
      <w:r>
        <w:rPr>
          <w:rFonts w:ascii="CG Times" w:hAnsi="CG Times"/>
          <w:sz w:val="26"/>
          <w:szCs w:val="26"/>
        </w:rPr>
        <w:t xml:space="preserve"> y actos formalizados la deducción del 100% en la cuota del Impuesto sobre Transmisiones Patrimoniales y Actos Jurídicos Documentados</w:t>
      </w:r>
      <w:r w:rsidRPr="00C7515A">
        <w:rPr>
          <w:rFonts w:ascii="CG Times" w:hAnsi="CG Times"/>
          <w:sz w:val="26"/>
          <w:szCs w:val="26"/>
        </w:rPr>
        <w:t>, pues</w:t>
      </w:r>
      <w:r>
        <w:rPr>
          <w:rFonts w:ascii="CG Times" w:hAnsi="CG Times"/>
          <w:sz w:val="26"/>
          <w:szCs w:val="26"/>
        </w:rPr>
        <w:t xml:space="preserve"> s</w:t>
      </w:r>
      <w:r w:rsidRPr="002E387D">
        <w:rPr>
          <w:rFonts w:ascii="CG Times" w:hAnsi="CG Times"/>
          <w:sz w:val="26"/>
          <w:szCs w:val="26"/>
        </w:rPr>
        <w:t xml:space="preserve">u finalidad es </w:t>
      </w:r>
      <w:r>
        <w:rPr>
          <w:rFonts w:ascii="Times New Roman" w:hAnsi="Times New Roman"/>
          <w:sz w:val="26"/>
          <w:szCs w:val="26"/>
          <w:lang w:val="es-ES"/>
        </w:rPr>
        <w:t>la construcción de vivienda protegida estatal o autonómica; advirtiéndole que habrá de obtener la correspondiente calificación o declaración provisional en el plazo de 3 años (4 años tratándose de terrenos)</w:t>
      </w:r>
      <w:r>
        <w:rPr>
          <w:rFonts w:ascii="CG Times" w:hAnsi="CG Times"/>
          <w:sz w:val="26"/>
          <w:szCs w:val="26"/>
          <w:lang w:val="es-ES"/>
        </w:rPr>
        <w:t xml:space="preserve"> o, en otro caso, </w:t>
      </w:r>
      <w:r>
        <w:rPr>
          <w:rFonts w:ascii="CG Times" w:hAnsi="CG Times"/>
          <w:sz w:val="26"/>
          <w:szCs w:val="26"/>
          <w:lang w:val="es-ES"/>
        </w:rPr>
        <w:lastRenderedPageBreak/>
        <w:t>presentar la correspondiente autoliquidación con sus intereses dentro del mes siguiente al incumplimiento.</w:t>
      </w:r>
    </w:p>
    <w:p w14:paraId="365FB81F" w14:textId="77777777" w:rsidR="00EE1145" w:rsidRDefault="00EE1145" w:rsidP="00C854F8">
      <w:pPr>
        <w:numPr>
          <w:ilvl w:val="1"/>
          <w:numId w:val="15"/>
        </w:numPr>
        <w:tabs>
          <w:tab w:val="num" w:pos="1440"/>
          <w:tab w:val="num" w:pos="2520"/>
        </w:tabs>
        <w:spacing w:line="280" w:lineRule="atLeast"/>
        <w:jc w:val="both"/>
        <w:rPr>
          <w:b/>
          <w:color w:val="000000"/>
          <w:spacing w:val="6"/>
          <w:sz w:val="22"/>
          <w:szCs w:val="22"/>
        </w:rPr>
      </w:pPr>
      <w:bookmarkStart w:id="101" w:name="tIPO22"/>
      <w:bookmarkStart w:id="102" w:name="B2"/>
      <w:bookmarkStart w:id="103" w:name="_Hlk196218929"/>
      <w:bookmarkEnd w:id="101"/>
      <w:bookmarkEnd w:id="102"/>
      <w:r>
        <w:rPr>
          <w:b/>
          <w:color w:val="000000"/>
          <w:spacing w:val="6"/>
          <w:sz w:val="26"/>
          <w:szCs w:val="26"/>
        </w:rPr>
        <w:t>Tipo reducido del 3% en TPO por segunda y ulteriores transmisiones de vivienda protegida</w:t>
      </w:r>
    </w:p>
    <w:p w14:paraId="11274379" w14:textId="77777777" w:rsidR="00EE1145" w:rsidRDefault="00EE1145" w:rsidP="00C854F8">
      <w:pPr>
        <w:numPr>
          <w:ilvl w:val="2"/>
          <w:numId w:val="15"/>
        </w:numPr>
        <w:tabs>
          <w:tab w:val="num" w:pos="2520"/>
        </w:tabs>
        <w:spacing w:line="280" w:lineRule="atLeast"/>
        <w:jc w:val="both"/>
        <w:rPr>
          <w:b/>
          <w:spacing w:val="6"/>
          <w:sz w:val="22"/>
          <w:szCs w:val="22"/>
        </w:rPr>
      </w:pPr>
      <w:bookmarkStart w:id="104" w:name="n221"/>
      <w:bookmarkEnd w:id="104"/>
      <w:r>
        <w:rPr>
          <w:b/>
          <w:spacing w:val="6"/>
          <w:sz w:val="26"/>
          <w:szCs w:val="26"/>
        </w:rPr>
        <w:t>Normativa vigente</w:t>
      </w:r>
    </w:p>
    <w:p w14:paraId="2A543401" w14:textId="77777777" w:rsidR="00EE1145" w:rsidRDefault="00EE1145">
      <w:pPr>
        <w:spacing w:line="280" w:lineRule="atLeast"/>
        <w:ind w:left="1440"/>
        <w:jc w:val="both"/>
        <w:rPr>
          <w:spacing w:val="6"/>
          <w:sz w:val="26"/>
          <w:szCs w:val="26"/>
        </w:rPr>
      </w:pPr>
      <w:hyperlink r:id="rId161" w:anchor="a27" w:history="1">
        <w:r>
          <w:rPr>
            <w:rStyle w:val="Hipervnculo"/>
            <w:rFonts w:ascii="Times New Roman" w:hAnsi="Times New Roman"/>
            <w:sz w:val="26"/>
            <w:szCs w:val="26"/>
            <w:lang w:val="es-ES"/>
          </w:rPr>
          <w:t>Art. 27 del Decreto-legislativo asturiano 2/2014</w:t>
        </w:r>
      </w:hyperlink>
      <w:r>
        <w:rPr>
          <w:spacing w:val="6"/>
          <w:sz w:val="26"/>
          <w:szCs w:val="26"/>
        </w:rPr>
        <w:t>: Tipo reducido del 3% en TPO  para las segundas y ulteriores transmisiones de viviendas calificadas de protección pública por el Principado de Asturias, así como por la constitución y cesión de derechos reales sobre las mismas, con exclusión de los de garantía, siempre que se cumplan los siguientes requisitos:</w:t>
      </w:r>
    </w:p>
    <w:p w14:paraId="7B5BC2EE" w14:textId="77777777" w:rsidR="00EE1145" w:rsidRDefault="00EE1145" w:rsidP="00C854F8">
      <w:pPr>
        <w:numPr>
          <w:ilvl w:val="0"/>
          <w:numId w:val="14"/>
        </w:numPr>
        <w:tabs>
          <w:tab w:val="clear" w:pos="1800"/>
          <w:tab w:val="num" w:pos="1440"/>
        </w:tabs>
        <w:spacing w:line="280" w:lineRule="atLeast"/>
        <w:jc w:val="both"/>
        <w:rPr>
          <w:spacing w:val="6"/>
          <w:sz w:val="26"/>
          <w:szCs w:val="26"/>
        </w:rPr>
      </w:pPr>
      <w:r>
        <w:rPr>
          <w:rFonts w:ascii="CG Times" w:hAnsi="CG Times"/>
          <w:sz w:val="26"/>
          <w:szCs w:val="26"/>
        </w:rPr>
        <w:t>No hayan perdido la condición de viviendas protegidas y se encuentren sujetas a precio máximo de venta.</w:t>
      </w:r>
    </w:p>
    <w:p w14:paraId="0A5229FD" w14:textId="77777777" w:rsidR="00EE1145" w:rsidRDefault="00EE1145" w:rsidP="00C854F8">
      <w:pPr>
        <w:numPr>
          <w:ilvl w:val="0"/>
          <w:numId w:val="14"/>
        </w:numPr>
        <w:tabs>
          <w:tab w:val="clear" w:pos="1800"/>
          <w:tab w:val="num" w:pos="1440"/>
        </w:tabs>
        <w:spacing w:line="280" w:lineRule="atLeast"/>
        <w:jc w:val="both"/>
        <w:rPr>
          <w:spacing w:val="6"/>
          <w:sz w:val="26"/>
          <w:szCs w:val="26"/>
        </w:rPr>
      </w:pPr>
      <w:r>
        <w:rPr>
          <w:rFonts w:ascii="CG Times" w:hAnsi="CG Times"/>
          <w:sz w:val="26"/>
          <w:szCs w:val="26"/>
        </w:rPr>
        <w:t>El adquirente, como consecuencia de esta adquisición, no resulte propietario u ostente derechos reales sobre más de una vivienda</w:t>
      </w:r>
      <w:r>
        <w:rPr>
          <w:rFonts w:ascii="CG Times" w:hAnsi="CG Times"/>
          <w:sz w:val="26"/>
          <w:szCs w:val="26"/>
          <w:lang w:val="es-ES"/>
        </w:rPr>
        <w:t>.</w:t>
      </w:r>
    </w:p>
    <w:p w14:paraId="0D217667" w14:textId="77777777" w:rsidR="00EE1145" w:rsidRDefault="00EE1145" w:rsidP="00C854F8">
      <w:pPr>
        <w:numPr>
          <w:ilvl w:val="0"/>
          <w:numId w:val="14"/>
        </w:numPr>
        <w:tabs>
          <w:tab w:val="clear" w:pos="1800"/>
          <w:tab w:val="num" w:pos="1440"/>
        </w:tabs>
        <w:spacing w:line="280" w:lineRule="atLeast"/>
        <w:jc w:val="both"/>
        <w:rPr>
          <w:spacing w:val="6"/>
          <w:sz w:val="26"/>
          <w:szCs w:val="26"/>
        </w:rPr>
      </w:pPr>
      <w:r>
        <w:rPr>
          <w:spacing w:val="6"/>
          <w:sz w:val="26"/>
          <w:szCs w:val="26"/>
        </w:rPr>
        <w:t>La vivienda debe ser habitada, de manera efectiva y con carácter permanente por el adquirente, en un plazo de 6 meses, contados a partir de la fecha de adquisición; y ha de constituir su residencia permanente durante un plazo continuado de 3 años.</w:t>
      </w:r>
    </w:p>
    <w:p w14:paraId="57C7F654" w14:textId="77777777" w:rsidR="00EE1145" w:rsidRDefault="00EE1145" w:rsidP="00C854F8">
      <w:pPr>
        <w:numPr>
          <w:ilvl w:val="2"/>
          <w:numId w:val="15"/>
        </w:numPr>
        <w:tabs>
          <w:tab w:val="num" w:pos="2520"/>
        </w:tabs>
        <w:spacing w:line="280" w:lineRule="atLeast"/>
        <w:jc w:val="both"/>
        <w:rPr>
          <w:b/>
          <w:spacing w:val="6"/>
          <w:sz w:val="22"/>
          <w:szCs w:val="22"/>
        </w:rPr>
      </w:pPr>
      <w:bookmarkStart w:id="105" w:name="t222"/>
      <w:bookmarkEnd w:id="105"/>
      <w:r>
        <w:rPr>
          <w:b/>
          <w:sz w:val="26"/>
          <w:szCs w:val="26"/>
        </w:rPr>
        <w:t>Tratamiento notarial</w:t>
      </w:r>
    </w:p>
    <w:p w14:paraId="2D41D51A" w14:textId="77777777" w:rsidR="00EE1145" w:rsidRPr="00C7515A" w:rsidRDefault="00C7515A" w:rsidP="00C854F8">
      <w:pPr>
        <w:numPr>
          <w:ilvl w:val="0"/>
          <w:numId w:val="34"/>
        </w:numPr>
        <w:spacing w:line="280" w:lineRule="atLeast"/>
        <w:jc w:val="both"/>
        <w:rPr>
          <w:spacing w:val="6"/>
          <w:sz w:val="26"/>
          <w:szCs w:val="26"/>
          <w:u w:val="single"/>
        </w:rPr>
      </w:pPr>
      <w:r>
        <w:rPr>
          <w:rFonts w:ascii="CG Times" w:hAnsi="CG Times"/>
          <w:sz w:val="26"/>
          <w:szCs w:val="26"/>
        </w:rPr>
        <w:t xml:space="preserve">Incluir la siguiente cláusula en la Exposición: </w:t>
      </w:r>
      <w:r w:rsidR="00EE1145" w:rsidRPr="00C7515A">
        <w:rPr>
          <w:rFonts w:ascii="CG Times" w:hAnsi="CG Times"/>
          <w:b/>
          <w:sz w:val="26"/>
          <w:szCs w:val="26"/>
        </w:rPr>
        <w:t>E) Declaraciones fiscales.-</w:t>
      </w:r>
      <w:r w:rsidR="00EE1145" w:rsidRPr="00C7515A">
        <w:rPr>
          <w:rFonts w:ascii="CG Times" w:hAnsi="CG Times"/>
          <w:sz w:val="26"/>
          <w:szCs w:val="26"/>
        </w:rPr>
        <w:t xml:space="preserve"> </w:t>
      </w:r>
      <w:bookmarkStart w:id="106" w:name="_Hlk160442117"/>
      <w:r w:rsidR="00EE1145" w:rsidRPr="00C7515A">
        <w:rPr>
          <w:rFonts w:ascii="CG Times" w:hAnsi="CG Times"/>
          <w:sz w:val="26"/>
          <w:szCs w:val="26"/>
        </w:rPr>
        <w:t xml:space="preserve">A los efectos previstos en el </w:t>
      </w:r>
      <w:hyperlink r:id="rId162" w:anchor="a27" w:history="1">
        <w:r w:rsidR="00EE1145" w:rsidRPr="00C7515A">
          <w:rPr>
            <w:rStyle w:val="Hipervnculo"/>
            <w:rFonts w:ascii="Times New Roman" w:hAnsi="Times New Roman"/>
            <w:sz w:val="26"/>
            <w:szCs w:val="26"/>
            <w:lang w:val="es-ES"/>
          </w:rPr>
          <w:t>art. 27 del Decreto-legislativo asturiano 2/2014</w:t>
        </w:r>
      </w:hyperlink>
      <w:r w:rsidR="00EE1145" w:rsidRPr="00C7515A">
        <w:rPr>
          <w:rFonts w:ascii="CG Times" w:hAnsi="CG Times"/>
          <w:sz w:val="26"/>
          <w:szCs w:val="26"/>
        </w:rPr>
        <w:t>, el/la/los adquirente/s *** manifiesta/n que no es/son propietario/s u ostenta/n derechos reales sobre más de una vivienda y que le/s es de aplicación el tipo reducido en el Impuesto sobre Transmisiones Patrimoniales Onerosas del 3%, pues:</w:t>
      </w:r>
    </w:p>
    <w:p w14:paraId="5198FF17" w14:textId="77777777" w:rsidR="00EE1145" w:rsidRDefault="00EE1145" w:rsidP="00982FF9">
      <w:pPr>
        <w:ind w:left="1800"/>
        <w:jc w:val="both"/>
        <w:rPr>
          <w:rFonts w:ascii="CG Times" w:hAnsi="CG Times"/>
          <w:sz w:val="26"/>
          <w:szCs w:val="26"/>
        </w:rPr>
      </w:pPr>
      <w:r>
        <w:rPr>
          <w:rFonts w:ascii="CG Times" w:hAnsi="CG Times"/>
          <w:sz w:val="26"/>
          <w:szCs w:val="26"/>
        </w:rPr>
        <w:t>- La vivienda adquirida ha sido calificada de protección pública por el Principado de Asturias, no ha perdid</w:t>
      </w:r>
      <w:r w:rsidR="00B816B4">
        <w:rPr>
          <w:rFonts w:ascii="CG Times" w:hAnsi="CG Times"/>
          <w:sz w:val="26"/>
          <w:szCs w:val="26"/>
        </w:rPr>
        <w:t>o esta condición y se encuentra</w:t>
      </w:r>
      <w:r>
        <w:rPr>
          <w:rFonts w:ascii="CG Times" w:hAnsi="CG Times"/>
          <w:sz w:val="26"/>
          <w:szCs w:val="26"/>
        </w:rPr>
        <w:t xml:space="preserve"> sujeta a precio máximo de venta.</w:t>
      </w:r>
    </w:p>
    <w:p w14:paraId="757EFB7B" w14:textId="77777777" w:rsidR="00EE1145" w:rsidRDefault="00EE1145" w:rsidP="00982FF9">
      <w:pPr>
        <w:ind w:left="1800"/>
        <w:jc w:val="both"/>
        <w:rPr>
          <w:rFonts w:ascii="CG Times" w:hAnsi="CG Times"/>
          <w:sz w:val="26"/>
          <w:szCs w:val="26"/>
          <w:lang w:val="es-ES"/>
        </w:rPr>
      </w:pPr>
      <w:r>
        <w:rPr>
          <w:rFonts w:ascii="CG Times" w:hAnsi="CG Times"/>
          <w:sz w:val="26"/>
          <w:szCs w:val="26"/>
        </w:rPr>
        <w:t>- La vivienda adquirida se destinará a su residencia permanente en el plazo de 6 meses y durante al menos 3 años, con las excepciones legalmente previstas</w:t>
      </w:r>
      <w:r>
        <w:rPr>
          <w:rFonts w:ascii="CG Times" w:hAnsi="CG Times"/>
          <w:sz w:val="26"/>
          <w:szCs w:val="26"/>
          <w:lang w:val="es-ES"/>
        </w:rPr>
        <w:t>.</w:t>
      </w:r>
    </w:p>
    <w:bookmarkEnd w:id="106"/>
    <w:p w14:paraId="23828DA1" w14:textId="77777777" w:rsidR="00EA3E59" w:rsidRDefault="00EA3E59" w:rsidP="00C854F8">
      <w:pPr>
        <w:numPr>
          <w:ilvl w:val="0"/>
          <w:numId w:val="33"/>
        </w:numPr>
        <w:ind w:left="1797" w:hanging="357"/>
        <w:jc w:val="both"/>
        <w:rPr>
          <w:rFonts w:ascii="CG Times" w:hAnsi="CG Times"/>
          <w:sz w:val="26"/>
          <w:szCs w:val="26"/>
          <w:lang w:val="es-ES"/>
        </w:rPr>
      </w:pPr>
      <w:r>
        <w:rPr>
          <w:rFonts w:ascii="CG Times" w:hAnsi="CG Times"/>
          <w:sz w:val="26"/>
          <w:szCs w:val="26"/>
          <w:lang w:val="es-ES"/>
        </w:rPr>
        <w:t>Informar de la deducción de</w:t>
      </w:r>
      <w:r w:rsidR="001C5DAD">
        <w:rPr>
          <w:rFonts w:ascii="CG Times" w:hAnsi="CG Times"/>
          <w:sz w:val="26"/>
          <w:szCs w:val="26"/>
          <w:lang w:val="es-ES"/>
        </w:rPr>
        <w:t xml:space="preserve"> hasta</w:t>
      </w:r>
      <w:r>
        <w:rPr>
          <w:rFonts w:ascii="CG Times" w:hAnsi="CG Times"/>
          <w:sz w:val="26"/>
          <w:szCs w:val="26"/>
          <w:lang w:val="es-ES"/>
        </w:rPr>
        <w:t xml:space="preserve"> 5.000 € en el IRPF por inversión</w:t>
      </w:r>
      <w:r w:rsidR="001C5DAD">
        <w:rPr>
          <w:rFonts w:ascii="CG Times" w:hAnsi="CG Times"/>
          <w:sz w:val="26"/>
          <w:szCs w:val="26"/>
          <w:lang w:val="es-ES"/>
        </w:rPr>
        <w:t xml:space="preserve"> (adquisición o rehabilitación)</w:t>
      </w:r>
      <w:r>
        <w:rPr>
          <w:rFonts w:ascii="CG Times" w:hAnsi="CG Times"/>
          <w:sz w:val="26"/>
          <w:szCs w:val="26"/>
          <w:lang w:val="es-ES"/>
        </w:rPr>
        <w:t xml:space="preserve"> en vivienda habitual protegida</w:t>
      </w:r>
      <w:r w:rsidR="001C5DAD">
        <w:rPr>
          <w:rFonts w:ascii="CG Times" w:hAnsi="CG Times"/>
          <w:sz w:val="26"/>
          <w:szCs w:val="26"/>
          <w:lang w:val="es-ES"/>
        </w:rPr>
        <w:t xml:space="preserve"> (puede aplicarse en los 3 períodos siguientes y si son dos o más los beneficiarios se prorratea a partes iguales)</w:t>
      </w:r>
      <w:r>
        <w:rPr>
          <w:rFonts w:ascii="CG Times" w:hAnsi="CG Times"/>
          <w:sz w:val="26"/>
          <w:szCs w:val="26"/>
          <w:lang w:val="es-ES"/>
        </w:rPr>
        <w:t xml:space="preserve">, introducida por el </w:t>
      </w:r>
      <w:hyperlink r:id="rId163" w:history="1">
        <w:r w:rsidRPr="007C4385">
          <w:rPr>
            <w:rStyle w:val="Hipervnculo"/>
            <w:rFonts w:ascii="CG Times" w:hAnsi="CG Times"/>
            <w:sz w:val="26"/>
            <w:szCs w:val="26"/>
            <w:lang w:val="es-ES"/>
          </w:rPr>
          <w:t>art. 39 de la Ley 3/2020</w:t>
        </w:r>
      </w:hyperlink>
      <w:r>
        <w:rPr>
          <w:rFonts w:ascii="CG Times" w:hAnsi="CG Times"/>
          <w:sz w:val="26"/>
          <w:szCs w:val="26"/>
          <w:lang w:val="es-ES"/>
        </w:rPr>
        <w:t>, que modifica el art. 6 del Decreto-legislativo 2/2014 (en vigor desde el 1 de enero de 2021).</w:t>
      </w:r>
      <w:bookmarkStart w:id="107" w:name="tipo24"/>
      <w:bookmarkEnd w:id="107"/>
    </w:p>
    <w:p w14:paraId="62801B59" w14:textId="77777777" w:rsidR="00464559" w:rsidRDefault="00464559" w:rsidP="00C854F8">
      <w:pPr>
        <w:numPr>
          <w:ilvl w:val="0"/>
          <w:numId w:val="33"/>
        </w:numPr>
        <w:spacing w:after="60"/>
        <w:ind w:left="1797" w:hanging="357"/>
        <w:jc w:val="both"/>
        <w:rPr>
          <w:rFonts w:ascii="CG Times" w:hAnsi="CG Times"/>
          <w:sz w:val="26"/>
          <w:szCs w:val="26"/>
          <w:lang w:val="es-ES"/>
        </w:rPr>
      </w:pPr>
      <w:r>
        <w:rPr>
          <w:rFonts w:ascii="CG Times" w:hAnsi="CG Times"/>
          <w:sz w:val="26"/>
          <w:szCs w:val="26"/>
          <w:lang w:val="es-ES"/>
        </w:rPr>
        <w:t>La no operatividad de este tipo reducido no impide que sean aplicables otros beneficios fiscales vinculados a otras circunstancias subjetivas.</w:t>
      </w:r>
    </w:p>
    <w:bookmarkEnd w:id="103"/>
    <w:p w14:paraId="67A61892" w14:textId="77777777" w:rsidR="00EE1145" w:rsidRDefault="00EE1145" w:rsidP="00C854F8">
      <w:pPr>
        <w:numPr>
          <w:ilvl w:val="1"/>
          <w:numId w:val="15"/>
        </w:numPr>
        <w:tabs>
          <w:tab w:val="num" w:pos="1440"/>
          <w:tab w:val="num" w:pos="2520"/>
        </w:tabs>
        <w:spacing w:line="280" w:lineRule="atLeast"/>
        <w:jc w:val="both"/>
        <w:rPr>
          <w:b/>
          <w:color w:val="000000"/>
          <w:spacing w:val="6"/>
          <w:sz w:val="22"/>
          <w:szCs w:val="22"/>
        </w:rPr>
      </w:pPr>
      <w:r>
        <w:rPr>
          <w:b/>
          <w:color w:val="000000"/>
          <w:spacing w:val="6"/>
          <w:sz w:val="26"/>
          <w:szCs w:val="26"/>
        </w:rPr>
        <w:lastRenderedPageBreak/>
        <w:t xml:space="preserve">Tipo reducido </w:t>
      </w:r>
      <w:r w:rsidR="00703965">
        <w:rPr>
          <w:b/>
          <w:color w:val="000000"/>
          <w:spacing w:val="6"/>
          <w:sz w:val="26"/>
          <w:szCs w:val="26"/>
        </w:rPr>
        <w:t xml:space="preserve">del 0,3% en AJD por adquisición (se mantiene) o por </w:t>
      </w:r>
      <w:r>
        <w:rPr>
          <w:b/>
          <w:color w:val="000000"/>
          <w:spacing w:val="6"/>
          <w:sz w:val="26"/>
          <w:szCs w:val="26"/>
        </w:rPr>
        <w:t>préstamo hipotecario</w:t>
      </w:r>
      <w:r w:rsidR="00703965">
        <w:rPr>
          <w:b/>
          <w:color w:val="000000"/>
          <w:spacing w:val="6"/>
          <w:sz w:val="26"/>
          <w:szCs w:val="26"/>
        </w:rPr>
        <w:t xml:space="preserve"> (suprimida desde 01/01/2019)</w:t>
      </w:r>
      <w:r>
        <w:rPr>
          <w:b/>
          <w:color w:val="000000"/>
          <w:spacing w:val="6"/>
          <w:sz w:val="26"/>
          <w:szCs w:val="26"/>
        </w:rPr>
        <w:t xml:space="preserve"> </w:t>
      </w:r>
      <w:r w:rsidR="00703965">
        <w:rPr>
          <w:b/>
          <w:color w:val="000000"/>
          <w:spacing w:val="6"/>
          <w:sz w:val="26"/>
          <w:szCs w:val="26"/>
        </w:rPr>
        <w:t xml:space="preserve">para </w:t>
      </w:r>
      <w:r>
        <w:rPr>
          <w:b/>
          <w:color w:val="000000"/>
          <w:spacing w:val="6"/>
          <w:sz w:val="26"/>
          <w:szCs w:val="26"/>
        </w:rPr>
        <w:t>vivienda protegida</w:t>
      </w:r>
    </w:p>
    <w:p w14:paraId="6A0980D0" w14:textId="77777777" w:rsidR="00EE1145" w:rsidRDefault="00EE1145" w:rsidP="00C854F8">
      <w:pPr>
        <w:numPr>
          <w:ilvl w:val="2"/>
          <w:numId w:val="15"/>
        </w:numPr>
        <w:tabs>
          <w:tab w:val="num" w:pos="2520"/>
        </w:tabs>
        <w:spacing w:line="280" w:lineRule="atLeast"/>
        <w:jc w:val="both"/>
        <w:rPr>
          <w:b/>
          <w:spacing w:val="6"/>
          <w:sz w:val="22"/>
          <w:szCs w:val="22"/>
        </w:rPr>
      </w:pPr>
      <w:bookmarkStart w:id="108" w:name="n261"/>
      <w:bookmarkStart w:id="109" w:name="rústica"/>
      <w:bookmarkEnd w:id="108"/>
      <w:bookmarkEnd w:id="109"/>
      <w:r>
        <w:rPr>
          <w:b/>
          <w:spacing w:val="6"/>
          <w:sz w:val="26"/>
          <w:szCs w:val="26"/>
        </w:rPr>
        <w:t>Normativa vigente</w:t>
      </w:r>
    </w:p>
    <w:p w14:paraId="099F9B5C" w14:textId="77777777" w:rsidR="00EE1145" w:rsidRDefault="00EE1145">
      <w:pPr>
        <w:spacing w:line="280" w:lineRule="atLeast"/>
        <w:ind w:left="1440"/>
        <w:jc w:val="both"/>
        <w:rPr>
          <w:spacing w:val="6"/>
          <w:sz w:val="26"/>
          <w:szCs w:val="26"/>
        </w:rPr>
      </w:pPr>
      <w:hyperlink r:id="rId164" w:anchor="a29" w:history="1">
        <w:r>
          <w:rPr>
            <w:rStyle w:val="Hipervnculo"/>
            <w:rFonts w:ascii="Times New Roman" w:hAnsi="Times New Roman"/>
            <w:sz w:val="26"/>
            <w:szCs w:val="26"/>
            <w:lang w:val="es-ES"/>
          </w:rPr>
          <w:t>Art. 35 del Decreto-legislativo asturiano 2/2014</w:t>
        </w:r>
      </w:hyperlink>
      <w:r>
        <w:rPr>
          <w:spacing w:val="6"/>
          <w:sz w:val="26"/>
          <w:szCs w:val="26"/>
        </w:rPr>
        <w:t>: Tipo reducido del 0,3 en AJD por</w:t>
      </w:r>
      <w:r w:rsidR="00915310">
        <w:rPr>
          <w:spacing w:val="6"/>
          <w:sz w:val="26"/>
          <w:szCs w:val="26"/>
        </w:rPr>
        <w:t xml:space="preserve"> </w:t>
      </w:r>
      <w:r w:rsidR="00915310" w:rsidRPr="00915310">
        <w:rPr>
          <w:spacing w:val="6"/>
          <w:sz w:val="26"/>
          <w:szCs w:val="26"/>
        </w:rPr>
        <w:t>la</w:t>
      </w:r>
      <w:r w:rsidRPr="00915310">
        <w:rPr>
          <w:spacing w:val="6"/>
          <w:sz w:val="26"/>
          <w:szCs w:val="26"/>
        </w:rPr>
        <w:t xml:space="preserve"> adquisición</w:t>
      </w:r>
      <w:r w:rsidRPr="00915310">
        <w:rPr>
          <w:rStyle w:val="Refdenotaalfinal"/>
          <w:b/>
          <w:spacing w:val="6"/>
          <w:sz w:val="28"/>
          <w:szCs w:val="28"/>
        </w:rPr>
        <w:endnoteReference w:id="17"/>
      </w:r>
      <w:r w:rsidRPr="00915310">
        <w:rPr>
          <w:spacing w:val="6"/>
          <w:sz w:val="26"/>
          <w:szCs w:val="26"/>
        </w:rPr>
        <w:t xml:space="preserve"> de viviendas y constitución de préstamos hipotecarios</w:t>
      </w:r>
      <w:r w:rsidRPr="00915310">
        <w:rPr>
          <w:rStyle w:val="Refdenotaalfinal"/>
          <w:b/>
          <w:spacing w:val="6"/>
          <w:sz w:val="28"/>
          <w:szCs w:val="28"/>
        </w:rPr>
        <w:endnoteReference w:id="18"/>
      </w:r>
      <w:r w:rsidR="00915310" w:rsidRPr="00915310">
        <w:rPr>
          <w:spacing w:val="6"/>
          <w:sz w:val="26"/>
          <w:szCs w:val="26"/>
        </w:rPr>
        <w:t xml:space="preserve"> </w:t>
      </w:r>
      <w:r w:rsidRPr="00915310">
        <w:rPr>
          <w:spacing w:val="6"/>
          <w:sz w:val="26"/>
          <w:szCs w:val="26"/>
        </w:rPr>
        <w:t>por beneficiarios de ayudas económicas percibidas de la Administración del Estado y de la Administración del Principado de Asturias para la adquisición de vivienda habitual</w:t>
      </w:r>
      <w:r w:rsidRPr="00915310">
        <w:rPr>
          <w:rStyle w:val="Refdenotaalfinal"/>
          <w:b/>
          <w:spacing w:val="6"/>
          <w:sz w:val="28"/>
          <w:szCs w:val="28"/>
        </w:rPr>
        <w:endnoteReference w:id="19"/>
      </w:r>
      <w:r w:rsidRPr="00915310">
        <w:rPr>
          <w:spacing w:val="6"/>
          <w:sz w:val="26"/>
          <w:szCs w:val="26"/>
        </w:rPr>
        <w:t xml:space="preserve"> de protección pública que no goce de la exención prevista en la normativa del Impuesto sobre Transmisiones Patrimoniales y Actos Jurídicos Documentados</w:t>
      </w:r>
      <w:r w:rsidRPr="00915310">
        <w:rPr>
          <w:rFonts w:ascii="CG Times" w:hAnsi="CG Times"/>
          <w:sz w:val="26"/>
          <w:szCs w:val="26"/>
        </w:rPr>
        <w:t>.</w:t>
      </w:r>
      <w:r w:rsidR="00915310">
        <w:rPr>
          <w:rFonts w:ascii="CG Times" w:hAnsi="CG Times"/>
          <w:sz w:val="26"/>
          <w:szCs w:val="26"/>
        </w:rPr>
        <w:br/>
        <w:t xml:space="preserve">Sin embargo, </w:t>
      </w:r>
      <w:r w:rsidR="00636A3A">
        <w:rPr>
          <w:rFonts w:ascii="Times New Roman" w:hAnsi="Times New Roman"/>
          <w:sz w:val="26"/>
          <w:szCs w:val="26"/>
          <w:lang w:val="es-ES"/>
        </w:rPr>
        <w:t>la</w:t>
      </w:r>
      <w:r w:rsidR="00636A3A" w:rsidRPr="00B11DC7">
        <w:rPr>
          <w:rFonts w:ascii="Times New Roman" w:hAnsi="Times New Roman"/>
          <w:sz w:val="26"/>
          <w:szCs w:val="26"/>
          <w:lang w:val="es-ES"/>
        </w:rPr>
        <w:t xml:space="preserve"> </w:t>
      </w:r>
      <w:hyperlink r:id="rId165" w:anchor="c5s1" w:history="1">
        <w:r w:rsidR="00636A3A" w:rsidRPr="00B11DC7">
          <w:rPr>
            <w:rStyle w:val="Hipervnculo"/>
            <w:rFonts w:ascii="Times New Roman" w:hAnsi="Times New Roman"/>
            <w:sz w:val="26"/>
            <w:szCs w:val="26"/>
            <w:lang w:val="es-ES"/>
          </w:rPr>
          <w:t>Ley 14/2018</w:t>
        </w:r>
      </w:hyperlink>
      <w:r w:rsidR="00636A3A">
        <w:rPr>
          <w:rFonts w:ascii="Times New Roman" w:hAnsi="Times New Roman"/>
          <w:sz w:val="26"/>
          <w:szCs w:val="26"/>
        </w:rPr>
        <w:t>, aplicable desde el</w:t>
      </w:r>
      <w:r w:rsidR="00636A3A" w:rsidRPr="00B11DC7">
        <w:rPr>
          <w:rFonts w:ascii="Times New Roman" w:hAnsi="Times New Roman"/>
          <w:sz w:val="26"/>
          <w:szCs w:val="26"/>
          <w:lang w:val="es-ES"/>
        </w:rPr>
        <w:t xml:space="preserve"> 1 de enero de 201</w:t>
      </w:r>
      <w:r w:rsidR="00636A3A">
        <w:rPr>
          <w:rFonts w:ascii="Times New Roman" w:hAnsi="Times New Roman"/>
          <w:sz w:val="26"/>
          <w:szCs w:val="26"/>
          <w:lang w:val="es-ES"/>
        </w:rPr>
        <w:t>9, suprime el beneficio para los préstamos hipotecarios.</w:t>
      </w:r>
    </w:p>
    <w:p w14:paraId="4B17CC32" w14:textId="77777777" w:rsidR="00EE1145" w:rsidRDefault="00EE1145" w:rsidP="00C854F8">
      <w:pPr>
        <w:numPr>
          <w:ilvl w:val="2"/>
          <w:numId w:val="15"/>
        </w:numPr>
        <w:tabs>
          <w:tab w:val="num" w:pos="2520"/>
        </w:tabs>
        <w:spacing w:line="280" w:lineRule="atLeast"/>
        <w:jc w:val="both"/>
        <w:rPr>
          <w:b/>
          <w:spacing w:val="6"/>
          <w:sz w:val="22"/>
          <w:szCs w:val="22"/>
        </w:rPr>
      </w:pPr>
      <w:bookmarkStart w:id="110" w:name="t262"/>
      <w:bookmarkEnd w:id="110"/>
      <w:r>
        <w:rPr>
          <w:b/>
          <w:spacing w:val="6"/>
          <w:sz w:val="26"/>
          <w:szCs w:val="26"/>
        </w:rPr>
        <w:t>Tratamiento notarial</w:t>
      </w:r>
    </w:p>
    <w:p w14:paraId="6B0187B5" w14:textId="77777777" w:rsidR="00EE1145" w:rsidRPr="00C7515A" w:rsidRDefault="00C7515A" w:rsidP="00C854F8">
      <w:pPr>
        <w:numPr>
          <w:ilvl w:val="0"/>
          <w:numId w:val="33"/>
        </w:numPr>
        <w:spacing w:line="280" w:lineRule="atLeast"/>
        <w:jc w:val="both"/>
        <w:rPr>
          <w:spacing w:val="6"/>
          <w:sz w:val="26"/>
          <w:szCs w:val="26"/>
          <w:u w:val="single"/>
        </w:rPr>
      </w:pPr>
      <w:r>
        <w:rPr>
          <w:rFonts w:ascii="CG Times" w:hAnsi="CG Times"/>
          <w:sz w:val="26"/>
          <w:szCs w:val="26"/>
        </w:rPr>
        <w:t>Incluir la siguiente cláusula en la Expos</w:t>
      </w:r>
      <w:r w:rsidR="00821665">
        <w:rPr>
          <w:rFonts w:ascii="CG Times" w:hAnsi="CG Times"/>
          <w:sz w:val="26"/>
          <w:szCs w:val="26"/>
        </w:rPr>
        <w:t>i</w:t>
      </w:r>
      <w:r>
        <w:rPr>
          <w:rFonts w:ascii="CG Times" w:hAnsi="CG Times"/>
          <w:sz w:val="26"/>
          <w:szCs w:val="26"/>
        </w:rPr>
        <w:t xml:space="preserve">ción: </w:t>
      </w:r>
      <w:r w:rsidR="00EE1145" w:rsidRPr="00C7515A">
        <w:rPr>
          <w:rFonts w:ascii="CG Times" w:hAnsi="CG Times"/>
          <w:b/>
          <w:sz w:val="26"/>
          <w:szCs w:val="26"/>
        </w:rPr>
        <w:t>E) Declaraciones fiscales.-</w:t>
      </w:r>
      <w:r w:rsidR="00EE1145" w:rsidRPr="00C7515A">
        <w:rPr>
          <w:rFonts w:ascii="CG Times" w:hAnsi="CG Times"/>
          <w:sz w:val="26"/>
          <w:szCs w:val="26"/>
        </w:rPr>
        <w:t xml:space="preserve"> Para el caso de que no fueren aplicables cualesquiera exenciones estatales o autonómicas en el </w:t>
      </w:r>
      <w:r w:rsidR="00EE1145" w:rsidRPr="00C7515A">
        <w:rPr>
          <w:spacing w:val="6"/>
          <w:sz w:val="26"/>
          <w:szCs w:val="26"/>
        </w:rPr>
        <w:t>Impuesto sobre Actos Jurídicos Documentados</w:t>
      </w:r>
      <w:r w:rsidR="00EE1145" w:rsidRPr="00C7515A">
        <w:rPr>
          <w:rFonts w:ascii="CG Times" w:hAnsi="CG Times"/>
          <w:sz w:val="26"/>
          <w:szCs w:val="26"/>
        </w:rPr>
        <w:t xml:space="preserve">, a los efectos previstos en el </w:t>
      </w:r>
      <w:hyperlink r:id="rId166" w:anchor="a29" w:history="1">
        <w:r w:rsidR="00EE1145" w:rsidRPr="00C7515A">
          <w:rPr>
            <w:rStyle w:val="Hipervnculo"/>
            <w:rFonts w:ascii="Times New Roman" w:hAnsi="Times New Roman"/>
            <w:sz w:val="26"/>
            <w:szCs w:val="26"/>
            <w:lang w:val="es-ES"/>
          </w:rPr>
          <w:t>art. 35 del Decreto-legislativo asturiano 2/2014</w:t>
        </w:r>
      </w:hyperlink>
      <w:r w:rsidR="00EE1145" w:rsidRPr="00C7515A">
        <w:rPr>
          <w:rFonts w:ascii="CG Times" w:hAnsi="CG Times"/>
          <w:sz w:val="26"/>
          <w:szCs w:val="26"/>
        </w:rPr>
        <w:t xml:space="preserve">, el/los sujetos pasivos manifiesta/n que la vivienda adquirida va a constituir su vivienda habitual (conforme a lo previsto en el IRPF, es decir, 3 años con las excepciones legalmente previstas) y que es de aplicación el tipo reducido del 0,3%, pues es/son </w:t>
      </w:r>
      <w:r w:rsidR="00EE1145" w:rsidRPr="00C7515A">
        <w:rPr>
          <w:spacing w:val="6"/>
          <w:sz w:val="26"/>
          <w:szCs w:val="26"/>
        </w:rPr>
        <w:t>beneficiario/s de ayudas económicas percibidas de la Administración del Estado y de la Administración del Principado de Asturias para la adquisición de vivienda habitual de protección pública que no goza de la citada exención</w:t>
      </w:r>
      <w:r w:rsidR="00EE1145" w:rsidRPr="00C7515A">
        <w:rPr>
          <w:rFonts w:ascii="CG Times" w:hAnsi="CG Times"/>
          <w:sz w:val="26"/>
          <w:szCs w:val="26"/>
          <w:lang w:val="es-ES"/>
        </w:rPr>
        <w:t>.</w:t>
      </w:r>
    </w:p>
    <w:p w14:paraId="34C01A06" w14:textId="77777777" w:rsidR="00914D46" w:rsidRPr="004A5C9A" w:rsidRDefault="00C7515A" w:rsidP="00C854F8">
      <w:pPr>
        <w:numPr>
          <w:ilvl w:val="0"/>
          <w:numId w:val="33"/>
        </w:numPr>
        <w:spacing w:after="60"/>
        <w:ind w:left="1797" w:hanging="357"/>
        <w:jc w:val="both"/>
        <w:rPr>
          <w:rFonts w:ascii="CG Times" w:hAnsi="CG Times"/>
          <w:sz w:val="26"/>
          <w:szCs w:val="26"/>
          <w:lang w:val="es-ES"/>
        </w:rPr>
      </w:pPr>
      <w:r>
        <w:rPr>
          <w:rFonts w:ascii="CG Times" w:hAnsi="CG Times"/>
          <w:sz w:val="26"/>
          <w:szCs w:val="26"/>
          <w:lang w:val="es-ES"/>
        </w:rPr>
        <w:t xml:space="preserve">Informar de la deducción de hasta 5.000 € en el IRPF por inversión (adquisición o rehabilitación) en vivienda habitual protegida (puede aplicarse en los 3 períodos siguientes y si son dos o más los beneficiarios se prorratea a partes iguales), introducida por el </w:t>
      </w:r>
      <w:hyperlink r:id="rId167" w:history="1">
        <w:r w:rsidRPr="007C4385">
          <w:rPr>
            <w:rStyle w:val="Hipervnculo"/>
            <w:rFonts w:ascii="CG Times" w:hAnsi="CG Times"/>
            <w:sz w:val="26"/>
            <w:szCs w:val="26"/>
            <w:lang w:val="es-ES"/>
          </w:rPr>
          <w:t>art. 39 de la Ley 3/2020</w:t>
        </w:r>
      </w:hyperlink>
      <w:r>
        <w:rPr>
          <w:rFonts w:ascii="CG Times" w:hAnsi="CG Times"/>
          <w:sz w:val="26"/>
          <w:szCs w:val="26"/>
          <w:lang w:val="es-ES"/>
        </w:rPr>
        <w:t>, que modifica el art. 6 del Decreto-legislativo 2/2014 (en vigor desde el 1 de enero de 2021).</w:t>
      </w:r>
    </w:p>
    <w:p w14:paraId="48B327FA" w14:textId="77777777" w:rsidR="00363E6D" w:rsidRDefault="00363E6D" w:rsidP="00C854F8">
      <w:pPr>
        <w:numPr>
          <w:ilvl w:val="1"/>
          <w:numId w:val="15"/>
        </w:numPr>
        <w:tabs>
          <w:tab w:val="left" w:pos="993"/>
        </w:tabs>
        <w:spacing w:line="280" w:lineRule="atLeast"/>
        <w:jc w:val="both"/>
        <w:rPr>
          <w:b/>
          <w:color w:val="000000"/>
          <w:spacing w:val="6"/>
          <w:sz w:val="22"/>
          <w:szCs w:val="22"/>
        </w:rPr>
      </w:pPr>
      <w:bookmarkStart w:id="111" w:name="tipo27"/>
      <w:bookmarkEnd w:id="111"/>
      <w:r>
        <w:rPr>
          <w:b/>
          <w:color w:val="000000"/>
          <w:spacing w:val="6"/>
          <w:sz w:val="26"/>
          <w:szCs w:val="26"/>
        </w:rPr>
        <w:t>Tipo incrementado del 4% al 8% en TPO de determinados bienes muebles suntuarios; y deducción del 100% para la maquinaria agrícola</w:t>
      </w:r>
    </w:p>
    <w:p w14:paraId="1C118CD2" w14:textId="77777777" w:rsidR="00363E6D" w:rsidRDefault="00363E6D" w:rsidP="00C854F8">
      <w:pPr>
        <w:numPr>
          <w:ilvl w:val="2"/>
          <w:numId w:val="15"/>
        </w:numPr>
        <w:tabs>
          <w:tab w:val="clear" w:pos="1440"/>
          <w:tab w:val="left" w:pos="1418"/>
          <w:tab w:val="left" w:pos="1560"/>
          <w:tab w:val="num" w:pos="2520"/>
        </w:tabs>
        <w:spacing w:line="280" w:lineRule="atLeast"/>
        <w:jc w:val="both"/>
        <w:rPr>
          <w:b/>
          <w:spacing w:val="6"/>
          <w:sz w:val="22"/>
          <w:szCs w:val="22"/>
        </w:rPr>
      </w:pPr>
      <w:bookmarkStart w:id="112" w:name="n251"/>
      <w:bookmarkStart w:id="113" w:name="normativa271"/>
      <w:bookmarkEnd w:id="112"/>
      <w:bookmarkEnd w:id="113"/>
      <w:r>
        <w:rPr>
          <w:b/>
          <w:spacing w:val="6"/>
          <w:sz w:val="26"/>
          <w:szCs w:val="26"/>
        </w:rPr>
        <w:t>Normativa vigente</w:t>
      </w:r>
    </w:p>
    <w:p w14:paraId="68541673" w14:textId="77777777" w:rsidR="00363E6D" w:rsidRDefault="00363E6D" w:rsidP="00363E6D">
      <w:pPr>
        <w:tabs>
          <w:tab w:val="num" w:pos="1778"/>
        </w:tabs>
        <w:spacing w:line="280" w:lineRule="atLeast"/>
        <w:ind w:left="1418"/>
        <w:jc w:val="both"/>
        <w:rPr>
          <w:spacing w:val="6"/>
          <w:sz w:val="26"/>
          <w:szCs w:val="26"/>
        </w:rPr>
      </w:pPr>
      <w:hyperlink r:id="rId168" w:anchor="a29" w:history="1">
        <w:r>
          <w:rPr>
            <w:rStyle w:val="Hipervnculo"/>
            <w:rFonts w:ascii="Times New Roman" w:hAnsi="Times New Roman"/>
            <w:sz w:val="26"/>
            <w:szCs w:val="26"/>
            <w:lang w:val="es-ES"/>
          </w:rPr>
          <w:t>Art. 32 del Decreto-legislativo asturiano 2/2014</w:t>
        </w:r>
      </w:hyperlink>
      <w:r>
        <w:rPr>
          <w:spacing w:val="6"/>
          <w:sz w:val="26"/>
          <w:szCs w:val="26"/>
        </w:rPr>
        <w:t>: Frente al tipo general del 4%, tipo incrementado del 8% en TPO en la transmisión de los siguientes bienes muebles:</w:t>
      </w:r>
    </w:p>
    <w:p w14:paraId="7CEE2286" w14:textId="77777777" w:rsidR="00363E6D" w:rsidRDefault="00363E6D" w:rsidP="00C854F8">
      <w:pPr>
        <w:numPr>
          <w:ilvl w:val="0"/>
          <w:numId w:val="24"/>
        </w:numPr>
        <w:spacing w:line="280" w:lineRule="atLeast"/>
        <w:jc w:val="both"/>
        <w:rPr>
          <w:spacing w:val="6"/>
          <w:sz w:val="26"/>
          <w:szCs w:val="26"/>
        </w:rPr>
      </w:pPr>
      <w:r>
        <w:rPr>
          <w:spacing w:val="6"/>
          <w:sz w:val="26"/>
          <w:szCs w:val="26"/>
        </w:rPr>
        <w:t xml:space="preserve">Vehículos de turismo y todoterreno que superen los 15 caballos de potencia fiscal (según la clasificación establecida </w:t>
      </w:r>
      <w:r>
        <w:rPr>
          <w:spacing w:val="6"/>
          <w:sz w:val="26"/>
          <w:szCs w:val="26"/>
        </w:rPr>
        <w:lastRenderedPageBreak/>
        <w:t>en las órdenes de precios medios de venta establecidos anualmente en Orden Ministerial).</w:t>
      </w:r>
    </w:p>
    <w:p w14:paraId="56AF6C55" w14:textId="77777777" w:rsidR="00363E6D" w:rsidRDefault="00363E6D" w:rsidP="00C854F8">
      <w:pPr>
        <w:numPr>
          <w:ilvl w:val="0"/>
          <w:numId w:val="24"/>
        </w:numPr>
        <w:spacing w:line="280" w:lineRule="atLeast"/>
        <w:jc w:val="both"/>
        <w:rPr>
          <w:spacing w:val="6"/>
          <w:sz w:val="26"/>
          <w:szCs w:val="26"/>
        </w:rPr>
      </w:pPr>
      <w:r>
        <w:rPr>
          <w:spacing w:val="6"/>
          <w:sz w:val="26"/>
          <w:szCs w:val="26"/>
        </w:rPr>
        <w:t>Embarcaciones de recreo con más de 8 metros de eslora.</w:t>
      </w:r>
    </w:p>
    <w:p w14:paraId="22DBEA3F" w14:textId="77777777" w:rsidR="00363E6D" w:rsidRDefault="00363E6D" w:rsidP="00C854F8">
      <w:pPr>
        <w:numPr>
          <w:ilvl w:val="0"/>
          <w:numId w:val="24"/>
        </w:numPr>
        <w:spacing w:line="280" w:lineRule="atLeast"/>
        <w:jc w:val="both"/>
        <w:rPr>
          <w:spacing w:val="6"/>
          <w:sz w:val="26"/>
          <w:szCs w:val="26"/>
        </w:rPr>
      </w:pPr>
      <w:r>
        <w:rPr>
          <w:spacing w:val="6"/>
          <w:sz w:val="26"/>
          <w:szCs w:val="26"/>
        </w:rPr>
        <w:t xml:space="preserve">Objetos de arte y antigüedades en la definición de la </w:t>
      </w:r>
      <w:hyperlink r:id="rId169" w:history="1">
        <w:r>
          <w:rPr>
            <w:rStyle w:val="Hipervnculo"/>
            <w:spacing w:val="6"/>
            <w:sz w:val="26"/>
            <w:szCs w:val="26"/>
          </w:rPr>
          <w:t>Ley estatal 19/1991 del Impuesto sobre el Patrimonio</w:t>
        </w:r>
      </w:hyperlink>
      <w:r>
        <w:rPr>
          <w:spacing w:val="6"/>
          <w:sz w:val="26"/>
          <w:szCs w:val="26"/>
        </w:rPr>
        <w:t>.</w:t>
      </w:r>
    </w:p>
    <w:p w14:paraId="69B645E8" w14:textId="77777777" w:rsidR="00363E6D" w:rsidRDefault="00363E6D" w:rsidP="00363E6D">
      <w:pPr>
        <w:spacing w:line="280" w:lineRule="atLeast"/>
        <w:ind w:left="1440"/>
        <w:jc w:val="both"/>
        <w:rPr>
          <w:spacing w:val="6"/>
          <w:sz w:val="26"/>
          <w:szCs w:val="26"/>
        </w:rPr>
      </w:pPr>
      <w:r>
        <w:rPr>
          <w:spacing w:val="6"/>
          <w:sz w:val="26"/>
          <w:szCs w:val="26"/>
        </w:rPr>
        <w:t xml:space="preserve">Por el contrario, el art. 32 quinquies </w:t>
      </w:r>
      <w:r>
        <w:rPr>
          <w:rFonts w:ascii="Times New Roman" w:hAnsi="Times New Roman"/>
          <w:sz w:val="26"/>
          <w:szCs w:val="26"/>
          <w:lang w:val="es-ES"/>
        </w:rPr>
        <w:t xml:space="preserve">(tras la reforma por </w:t>
      </w:r>
      <w:hyperlink r:id="rId170" w:history="1">
        <w:r w:rsidRPr="003B6C0B">
          <w:rPr>
            <w:rStyle w:val="Hipervnculo"/>
            <w:rFonts w:ascii="CG Times" w:hAnsi="CG Times"/>
            <w:sz w:val="26"/>
            <w:szCs w:val="26"/>
            <w:lang w:val="es-ES"/>
          </w:rPr>
          <w:t>Ley 4/2023</w:t>
        </w:r>
      </w:hyperlink>
      <w:r>
        <w:rPr>
          <w:rFonts w:ascii="Times New Roman" w:hAnsi="Times New Roman"/>
          <w:sz w:val="26"/>
          <w:szCs w:val="26"/>
          <w:lang w:val="es-ES"/>
        </w:rPr>
        <w:t xml:space="preserve">, en vigor desde el 1 de enero de 2024) </w:t>
      </w:r>
      <w:r>
        <w:rPr>
          <w:spacing w:val="6"/>
          <w:sz w:val="26"/>
          <w:szCs w:val="26"/>
        </w:rPr>
        <w:t>establece una deducción del 100% en la cuota de TPO cuando se trate de la transmisión de maquinaria agrícola que se afecte a una explotación.</w:t>
      </w:r>
    </w:p>
    <w:p w14:paraId="10A4B904" w14:textId="77777777" w:rsidR="00363E6D" w:rsidRDefault="00363E6D" w:rsidP="00C854F8">
      <w:pPr>
        <w:numPr>
          <w:ilvl w:val="2"/>
          <w:numId w:val="15"/>
        </w:numPr>
        <w:tabs>
          <w:tab w:val="num" w:pos="993"/>
          <w:tab w:val="left" w:pos="1560"/>
        </w:tabs>
        <w:spacing w:line="280" w:lineRule="atLeast"/>
        <w:jc w:val="both"/>
        <w:rPr>
          <w:b/>
          <w:spacing w:val="6"/>
          <w:sz w:val="22"/>
          <w:szCs w:val="22"/>
        </w:rPr>
      </w:pPr>
      <w:bookmarkStart w:id="114" w:name="TRA222"/>
      <w:bookmarkStart w:id="115" w:name="tratamiento272"/>
      <w:bookmarkEnd w:id="114"/>
      <w:bookmarkEnd w:id="115"/>
      <w:r>
        <w:rPr>
          <w:b/>
          <w:spacing w:val="6"/>
          <w:sz w:val="26"/>
          <w:szCs w:val="26"/>
        </w:rPr>
        <w:t>T</w:t>
      </w:r>
      <w:r>
        <w:rPr>
          <w:b/>
          <w:sz w:val="26"/>
          <w:szCs w:val="26"/>
        </w:rPr>
        <w:t>ratamiento notarial</w:t>
      </w:r>
    </w:p>
    <w:p w14:paraId="1A5A78DD" w14:textId="77777777" w:rsidR="00363E6D" w:rsidRDefault="00363E6D" w:rsidP="00363E6D">
      <w:pPr>
        <w:pStyle w:val="NormalWeb"/>
        <w:spacing w:before="0" w:beforeAutospacing="0" w:after="60" w:afterAutospacing="0" w:line="280" w:lineRule="atLeast"/>
        <w:ind w:left="1440"/>
        <w:jc w:val="both"/>
        <w:rPr>
          <w:rFonts w:ascii="CG Times" w:hAnsi="CG Times"/>
          <w:sz w:val="26"/>
          <w:szCs w:val="26"/>
          <w:lang w:val="es-ES_tradnl"/>
        </w:rPr>
      </w:pPr>
      <w:r>
        <w:rPr>
          <w:rFonts w:ascii="CG Times" w:hAnsi="CG Times"/>
          <w:sz w:val="26"/>
          <w:szCs w:val="26"/>
          <w:lang w:val="es-ES_tradnl"/>
        </w:rPr>
        <w:t>Tenerlo en cuenta</w:t>
      </w:r>
      <w:r>
        <w:t>.</w:t>
      </w:r>
    </w:p>
    <w:p w14:paraId="1BDB88C9" w14:textId="77777777" w:rsidR="00EE1145" w:rsidRDefault="00EE1145" w:rsidP="00C854F8">
      <w:pPr>
        <w:numPr>
          <w:ilvl w:val="1"/>
          <w:numId w:val="15"/>
        </w:numPr>
        <w:tabs>
          <w:tab w:val="left" w:pos="993"/>
        </w:tabs>
        <w:spacing w:line="280" w:lineRule="atLeast"/>
        <w:jc w:val="both"/>
        <w:rPr>
          <w:b/>
          <w:color w:val="000000"/>
          <w:spacing w:val="6"/>
          <w:sz w:val="22"/>
          <w:szCs w:val="22"/>
        </w:rPr>
      </w:pPr>
      <w:bookmarkStart w:id="116" w:name="B3"/>
      <w:bookmarkStart w:id="117" w:name="global"/>
      <w:bookmarkEnd w:id="116"/>
      <w:bookmarkEnd w:id="117"/>
      <w:r>
        <w:rPr>
          <w:b/>
          <w:color w:val="000000"/>
          <w:spacing w:val="6"/>
          <w:sz w:val="26"/>
          <w:szCs w:val="26"/>
        </w:rPr>
        <w:t>Tipo reducido del 3% en TPO por inmueble incluido en la transmisión de empresa individual a empleados o parientes</w:t>
      </w:r>
    </w:p>
    <w:p w14:paraId="501B39F8" w14:textId="77777777" w:rsidR="00EE1145" w:rsidRDefault="00EE1145" w:rsidP="00C854F8">
      <w:pPr>
        <w:numPr>
          <w:ilvl w:val="2"/>
          <w:numId w:val="15"/>
        </w:numPr>
        <w:tabs>
          <w:tab w:val="left" w:pos="1560"/>
        </w:tabs>
        <w:spacing w:line="280" w:lineRule="atLeast"/>
        <w:jc w:val="both"/>
        <w:rPr>
          <w:b/>
          <w:spacing w:val="6"/>
          <w:sz w:val="22"/>
          <w:szCs w:val="22"/>
        </w:rPr>
      </w:pPr>
      <w:bookmarkStart w:id="118" w:name="n231"/>
      <w:bookmarkEnd w:id="118"/>
      <w:r>
        <w:rPr>
          <w:b/>
          <w:spacing w:val="6"/>
          <w:sz w:val="26"/>
          <w:szCs w:val="26"/>
        </w:rPr>
        <w:t>Normativa vigente</w:t>
      </w:r>
    </w:p>
    <w:p w14:paraId="3F8BCCB7" w14:textId="77777777" w:rsidR="00EE1145" w:rsidRDefault="00EE1145">
      <w:pPr>
        <w:spacing w:line="280" w:lineRule="atLeast"/>
        <w:ind w:left="1440"/>
        <w:jc w:val="both"/>
        <w:rPr>
          <w:spacing w:val="6"/>
          <w:sz w:val="26"/>
          <w:szCs w:val="26"/>
        </w:rPr>
      </w:pPr>
      <w:hyperlink r:id="rId171" w:anchor="a28" w:history="1">
        <w:r>
          <w:rPr>
            <w:rStyle w:val="Hipervnculo"/>
            <w:rFonts w:ascii="Times New Roman" w:hAnsi="Times New Roman"/>
            <w:sz w:val="26"/>
            <w:szCs w:val="26"/>
            <w:lang w:val="es-ES"/>
          </w:rPr>
          <w:t>Art. 28 del Decreto-legislativo asturiano 2/2014</w:t>
        </w:r>
      </w:hyperlink>
      <w:r>
        <w:rPr>
          <w:spacing w:val="6"/>
          <w:sz w:val="26"/>
          <w:szCs w:val="26"/>
        </w:rPr>
        <w:t>: Tipo reducido del 3% en TPO  por los inmuebles incluidos en la transmisión global de una empresa individual o negocio profesional, siempre que se cumplan los siguientes requisitos:</w:t>
      </w:r>
    </w:p>
    <w:p w14:paraId="7139585A" w14:textId="77777777" w:rsidR="00EE1145" w:rsidRDefault="00EE1145" w:rsidP="00C854F8">
      <w:pPr>
        <w:numPr>
          <w:ilvl w:val="0"/>
          <w:numId w:val="14"/>
        </w:numPr>
        <w:tabs>
          <w:tab w:val="clear" w:pos="1800"/>
          <w:tab w:val="num" w:pos="1440"/>
        </w:tabs>
        <w:spacing w:line="280" w:lineRule="atLeast"/>
        <w:jc w:val="both"/>
        <w:rPr>
          <w:spacing w:val="6"/>
          <w:sz w:val="26"/>
          <w:szCs w:val="26"/>
        </w:rPr>
      </w:pPr>
      <w:r>
        <w:rPr>
          <w:rFonts w:ascii="CG Times" w:hAnsi="CG Times"/>
          <w:sz w:val="26"/>
          <w:szCs w:val="26"/>
        </w:rPr>
        <w:t>La actividad se ejerza por el transmitente de forma habitual personal y directa en el Principado de Asturias.</w:t>
      </w:r>
    </w:p>
    <w:p w14:paraId="3FFF66A9" w14:textId="77777777" w:rsidR="00EE1145" w:rsidRDefault="00EE1145" w:rsidP="00C854F8">
      <w:pPr>
        <w:numPr>
          <w:ilvl w:val="0"/>
          <w:numId w:val="14"/>
        </w:numPr>
        <w:tabs>
          <w:tab w:val="clear" w:pos="1800"/>
          <w:tab w:val="num" w:pos="1440"/>
        </w:tabs>
        <w:spacing w:line="280" w:lineRule="atLeast"/>
        <w:jc w:val="both"/>
        <w:rPr>
          <w:spacing w:val="6"/>
          <w:sz w:val="26"/>
          <w:szCs w:val="26"/>
        </w:rPr>
      </w:pPr>
      <w:r>
        <w:rPr>
          <w:spacing w:val="6"/>
          <w:sz w:val="26"/>
          <w:szCs w:val="26"/>
        </w:rPr>
        <w:t>La transmisión se produzca a favor de un empleado o de familiares hasta el tercer grado.</w:t>
      </w:r>
    </w:p>
    <w:p w14:paraId="441245E0" w14:textId="77777777" w:rsidR="00EE1145" w:rsidRDefault="00EE1145" w:rsidP="00C854F8">
      <w:pPr>
        <w:numPr>
          <w:ilvl w:val="0"/>
          <w:numId w:val="14"/>
        </w:numPr>
        <w:tabs>
          <w:tab w:val="clear" w:pos="1800"/>
          <w:tab w:val="num" w:pos="1440"/>
        </w:tabs>
        <w:spacing w:line="280" w:lineRule="atLeast"/>
        <w:jc w:val="both"/>
        <w:rPr>
          <w:spacing w:val="6"/>
          <w:sz w:val="26"/>
          <w:szCs w:val="26"/>
        </w:rPr>
      </w:pPr>
      <w:r>
        <w:rPr>
          <w:spacing w:val="6"/>
          <w:sz w:val="26"/>
          <w:szCs w:val="26"/>
        </w:rPr>
        <w:t>El adquirente se comprometa al ejercicio de la actividad forma continuada durante un período de 10 años dentro del territorio del Principado de Asturias.</w:t>
      </w:r>
    </w:p>
    <w:p w14:paraId="0C0F6C1C" w14:textId="77777777" w:rsidR="00EE1145" w:rsidRDefault="00EE1145" w:rsidP="00C854F8">
      <w:pPr>
        <w:numPr>
          <w:ilvl w:val="2"/>
          <w:numId w:val="15"/>
        </w:numPr>
        <w:tabs>
          <w:tab w:val="left" w:pos="1560"/>
        </w:tabs>
        <w:spacing w:line="280" w:lineRule="atLeast"/>
        <w:jc w:val="both"/>
        <w:rPr>
          <w:b/>
          <w:color w:val="000000"/>
          <w:spacing w:val="6"/>
          <w:sz w:val="22"/>
          <w:szCs w:val="22"/>
        </w:rPr>
      </w:pPr>
      <w:bookmarkStart w:id="119" w:name="t232"/>
      <w:bookmarkEnd w:id="119"/>
      <w:r>
        <w:rPr>
          <w:b/>
          <w:color w:val="000000"/>
          <w:sz w:val="26"/>
          <w:szCs w:val="26"/>
        </w:rPr>
        <w:t>Tratamiento notarial</w:t>
      </w:r>
    </w:p>
    <w:p w14:paraId="46B31775" w14:textId="77777777" w:rsidR="00EE1145" w:rsidRDefault="00EE1145">
      <w:pPr>
        <w:spacing w:line="280" w:lineRule="atLeast"/>
        <w:ind w:left="1440"/>
        <w:jc w:val="both"/>
        <w:rPr>
          <w:spacing w:val="6"/>
          <w:sz w:val="26"/>
          <w:szCs w:val="26"/>
          <w:u w:val="single"/>
        </w:rPr>
      </w:pPr>
      <w:r>
        <w:rPr>
          <w:rFonts w:ascii="CG Times" w:hAnsi="CG Times"/>
          <w:sz w:val="26"/>
          <w:szCs w:val="26"/>
        </w:rPr>
        <w:t xml:space="preserve">Incluir la siguiente cláusula en la Exposición: </w:t>
      </w:r>
    </w:p>
    <w:p w14:paraId="5F97C090" w14:textId="77777777" w:rsidR="00EE1145" w:rsidRDefault="00EE1145">
      <w:pPr>
        <w:ind w:left="1440"/>
        <w:jc w:val="both"/>
        <w:rPr>
          <w:rFonts w:ascii="CG Times" w:hAnsi="CG Times"/>
          <w:sz w:val="26"/>
          <w:szCs w:val="26"/>
        </w:rPr>
      </w:pPr>
      <w:r>
        <w:rPr>
          <w:rFonts w:ascii="CG Times" w:hAnsi="CG Times"/>
          <w:sz w:val="26"/>
          <w:szCs w:val="26"/>
        </w:rPr>
        <w:t>"</w:t>
      </w:r>
      <w:r>
        <w:rPr>
          <w:rFonts w:ascii="CG Times" w:hAnsi="CG Times"/>
          <w:b/>
          <w:sz w:val="26"/>
          <w:szCs w:val="26"/>
        </w:rPr>
        <w:t>E) Declaraciones fiscales.-</w:t>
      </w:r>
      <w:r>
        <w:rPr>
          <w:rFonts w:ascii="CG Times" w:hAnsi="CG Times"/>
          <w:sz w:val="26"/>
          <w:szCs w:val="26"/>
        </w:rPr>
        <w:t xml:space="preserve"> A los efectos previstos en el </w:t>
      </w:r>
      <w:hyperlink r:id="rId172" w:anchor="a28" w:history="1">
        <w:r>
          <w:rPr>
            <w:rStyle w:val="Hipervnculo"/>
            <w:rFonts w:ascii="Times New Roman" w:hAnsi="Times New Roman"/>
            <w:sz w:val="26"/>
            <w:szCs w:val="26"/>
            <w:lang w:val="es-ES"/>
          </w:rPr>
          <w:t>art. 28 del Decreto-legislativo asturiano 2/2014</w:t>
        </w:r>
      </w:hyperlink>
      <w:r>
        <w:rPr>
          <w:rFonts w:ascii="CG Times" w:hAnsi="CG Times"/>
          <w:sz w:val="26"/>
          <w:szCs w:val="26"/>
        </w:rPr>
        <w:t>, las partes manifiestan que es de aplicación al inmueble adquirido el Impuesto sobre Transmisiones Patrimoniales Onerosas del 3% por incluirse en la transmisión global de una empresa individual o negocio profesional y, además:</w:t>
      </w:r>
    </w:p>
    <w:p w14:paraId="5BC34514" w14:textId="77777777" w:rsidR="00EE1145" w:rsidRDefault="00EE1145">
      <w:pPr>
        <w:ind w:left="1440"/>
        <w:jc w:val="both"/>
        <w:rPr>
          <w:rFonts w:ascii="CG Times" w:hAnsi="CG Times"/>
          <w:sz w:val="26"/>
          <w:szCs w:val="26"/>
        </w:rPr>
      </w:pPr>
      <w:r>
        <w:rPr>
          <w:rFonts w:ascii="CG Times" w:hAnsi="CG Times"/>
          <w:sz w:val="26"/>
          <w:szCs w:val="26"/>
        </w:rPr>
        <w:t>- La actividad se viene ejerciendo por el transmitente de forma habitual personal y directa en el Principado de Asturias.</w:t>
      </w:r>
    </w:p>
    <w:p w14:paraId="6D3DF843" w14:textId="77777777" w:rsidR="00EE1145" w:rsidRDefault="00EE1145">
      <w:pPr>
        <w:ind w:left="1440"/>
        <w:jc w:val="both"/>
        <w:rPr>
          <w:spacing w:val="6"/>
          <w:sz w:val="26"/>
          <w:szCs w:val="26"/>
        </w:rPr>
      </w:pPr>
      <w:r>
        <w:rPr>
          <w:spacing w:val="6"/>
          <w:sz w:val="26"/>
          <w:szCs w:val="26"/>
        </w:rPr>
        <w:t>- La transmisión se produce a favor *** de un empleado o *** de familiares hasta el tercer grado.</w:t>
      </w:r>
    </w:p>
    <w:p w14:paraId="7D6A2709" w14:textId="77777777" w:rsidR="00EE1145" w:rsidRDefault="00EE1145" w:rsidP="008E0300">
      <w:pPr>
        <w:spacing w:after="60"/>
        <w:ind w:left="1440"/>
        <w:jc w:val="both"/>
        <w:rPr>
          <w:spacing w:val="6"/>
          <w:sz w:val="26"/>
          <w:szCs w:val="26"/>
        </w:rPr>
      </w:pPr>
      <w:r>
        <w:rPr>
          <w:spacing w:val="6"/>
          <w:sz w:val="26"/>
          <w:szCs w:val="26"/>
        </w:rPr>
        <w:t>- El adquirente se compromete al ejercicio de la actividad forma continuada durante un período de 10 años dentro del territorio del Principado de Asturias”.</w:t>
      </w:r>
    </w:p>
    <w:p w14:paraId="6C68787B" w14:textId="77777777" w:rsidR="00EE1145" w:rsidRDefault="00EE1145" w:rsidP="00C854F8">
      <w:pPr>
        <w:numPr>
          <w:ilvl w:val="1"/>
          <w:numId w:val="15"/>
        </w:numPr>
        <w:tabs>
          <w:tab w:val="num" w:pos="993"/>
          <w:tab w:val="num" w:pos="2520"/>
        </w:tabs>
        <w:spacing w:line="280" w:lineRule="atLeast"/>
        <w:jc w:val="both"/>
        <w:rPr>
          <w:b/>
          <w:color w:val="000000"/>
          <w:spacing w:val="6"/>
          <w:sz w:val="22"/>
          <w:szCs w:val="22"/>
        </w:rPr>
      </w:pPr>
      <w:bookmarkStart w:id="120" w:name="tipo26"/>
      <w:bookmarkEnd w:id="120"/>
      <w:r>
        <w:rPr>
          <w:b/>
          <w:color w:val="000000"/>
          <w:spacing w:val="6"/>
          <w:sz w:val="26"/>
          <w:szCs w:val="26"/>
        </w:rPr>
        <w:t>Tipo reducido del 3% en TPO por determinadas explotaciones agrarias prioritarias</w:t>
      </w:r>
      <w:r w:rsidR="00821665">
        <w:rPr>
          <w:b/>
          <w:color w:val="000000"/>
          <w:spacing w:val="6"/>
          <w:sz w:val="26"/>
          <w:szCs w:val="26"/>
        </w:rPr>
        <w:t>; y deducción del 100% en la cuota</w:t>
      </w:r>
    </w:p>
    <w:p w14:paraId="7EE2FC64" w14:textId="77777777" w:rsidR="00EE1145" w:rsidRDefault="00EE1145" w:rsidP="00C854F8">
      <w:pPr>
        <w:numPr>
          <w:ilvl w:val="2"/>
          <w:numId w:val="15"/>
        </w:numPr>
        <w:tabs>
          <w:tab w:val="left" w:pos="1560"/>
        </w:tabs>
        <w:spacing w:line="280" w:lineRule="atLeast"/>
        <w:jc w:val="both"/>
        <w:rPr>
          <w:b/>
          <w:spacing w:val="6"/>
          <w:sz w:val="22"/>
          <w:szCs w:val="22"/>
        </w:rPr>
      </w:pPr>
      <w:bookmarkStart w:id="121" w:name="nor261"/>
      <w:bookmarkEnd w:id="121"/>
      <w:r>
        <w:rPr>
          <w:b/>
          <w:spacing w:val="6"/>
          <w:sz w:val="26"/>
          <w:szCs w:val="26"/>
        </w:rPr>
        <w:t>Normativa vigente</w:t>
      </w:r>
    </w:p>
    <w:p w14:paraId="64F99651" w14:textId="77777777" w:rsidR="00EE1145" w:rsidRDefault="00EE1145">
      <w:pPr>
        <w:spacing w:line="280" w:lineRule="atLeast"/>
        <w:ind w:left="1440"/>
        <w:jc w:val="both"/>
        <w:rPr>
          <w:spacing w:val="6"/>
          <w:sz w:val="26"/>
          <w:szCs w:val="26"/>
        </w:rPr>
      </w:pPr>
      <w:hyperlink r:id="rId173" w:anchor="a28" w:history="1">
        <w:r>
          <w:rPr>
            <w:rStyle w:val="Hipervnculo"/>
            <w:rFonts w:ascii="Times New Roman" w:hAnsi="Times New Roman"/>
            <w:sz w:val="26"/>
            <w:szCs w:val="26"/>
            <w:lang w:val="es-ES"/>
          </w:rPr>
          <w:t>Art. 30 del Decreto-legislativo asturiano 2/2014</w:t>
        </w:r>
      </w:hyperlink>
      <w:r>
        <w:rPr>
          <w:spacing w:val="6"/>
          <w:sz w:val="26"/>
          <w:szCs w:val="26"/>
        </w:rPr>
        <w:t>: Tipo reducido del 3% en TPO  por “</w:t>
      </w:r>
      <w:r>
        <w:rPr>
          <w:i/>
          <w:spacing w:val="6"/>
          <w:sz w:val="26"/>
          <w:szCs w:val="26"/>
        </w:rPr>
        <w:t xml:space="preserve">… aquellas transmisiones onerosas de una explotación agraria prioritaria familiar o asociativa situada en el Principado de Asturias, por la parte de la base imponible no sujeta a reducción de conformidad con lo dispuesto en la </w:t>
      </w:r>
      <w:hyperlink r:id="rId174" w:history="1">
        <w:r>
          <w:rPr>
            <w:rStyle w:val="Hipervnculo"/>
            <w:i/>
            <w:spacing w:val="6"/>
            <w:sz w:val="26"/>
            <w:szCs w:val="26"/>
          </w:rPr>
          <w:t>Ley 19/1995, de 4 de julio, de modernización de las explotaciones agrarias</w:t>
        </w:r>
      </w:hyperlink>
      <w:r>
        <w:rPr>
          <w:i/>
          <w:spacing w:val="6"/>
          <w:sz w:val="26"/>
          <w:szCs w:val="26"/>
        </w:rPr>
        <w:t>, siempre y cuando se cumplan los requisitos formales exigidos en la mencionada ley…</w:t>
      </w:r>
      <w:r>
        <w:rPr>
          <w:spacing w:val="6"/>
          <w:sz w:val="26"/>
          <w:szCs w:val="26"/>
        </w:rPr>
        <w:t>”.</w:t>
      </w:r>
    </w:p>
    <w:p w14:paraId="5608835B" w14:textId="77777777" w:rsidR="00821665" w:rsidRDefault="00821665">
      <w:pPr>
        <w:spacing w:line="280" w:lineRule="atLeast"/>
        <w:ind w:left="1440"/>
        <w:jc w:val="both"/>
        <w:rPr>
          <w:spacing w:val="6"/>
          <w:sz w:val="26"/>
          <w:szCs w:val="26"/>
        </w:rPr>
      </w:pPr>
      <w:r>
        <w:rPr>
          <w:spacing w:val="6"/>
          <w:sz w:val="26"/>
          <w:szCs w:val="26"/>
        </w:rPr>
        <w:t xml:space="preserve">Añadiendo el art. 32 quáter </w:t>
      </w:r>
      <w:r w:rsidR="000E7B77">
        <w:rPr>
          <w:rFonts w:ascii="Times New Roman" w:hAnsi="Times New Roman"/>
          <w:sz w:val="26"/>
          <w:szCs w:val="26"/>
          <w:lang w:val="es-ES"/>
        </w:rPr>
        <w:t xml:space="preserve">(tras la reforma por </w:t>
      </w:r>
      <w:hyperlink r:id="rId175" w:history="1">
        <w:r w:rsidR="000E7B77" w:rsidRPr="003B6C0B">
          <w:rPr>
            <w:rStyle w:val="Hipervnculo"/>
            <w:rFonts w:ascii="CG Times" w:hAnsi="CG Times"/>
            <w:sz w:val="26"/>
            <w:szCs w:val="26"/>
            <w:lang w:val="es-ES"/>
          </w:rPr>
          <w:t>Ley 4/2023</w:t>
        </w:r>
      </w:hyperlink>
      <w:r w:rsidR="000E7B77">
        <w:rPr>
          <w:rFonts w:ascii="Times New Roman" w:hAnsi="Times New Roman"/>
          <w:sz w:val="26"/>
          <w:szCs w:val="26"/>
          <w:lang w:val="es-ES"/>
        </w:rPr>
        <w:t xml:space="preserve">, en vigor desde el 1 de enero de 2024) </w:t>
      </w:r>
      <w:r>
        <w:rPr>
          <w:spacing w:val="6"/>
          <w:sz w:val="26"/>
          <w:szCs w:val="26"/>
        </w:rPr>
        <w:t>una deducción en la cuota del 100%.</w:t>
      </w:r>
    </w:p>
    <w:p w14:paraId="1FA42369" w14:textId="77777777" w:rsidR="00EE1145" w:rsidRDefault="00EE1145" w:rsidP="00C854F8">
      <w:pPr>
        <w:numPr>
          <w:ilvl w:val="2"/>
          <w:numId w:val="15"/>
        </w:numPr>
        <w:tabs>
          <w:tab w:val="num" w:pos="1560"/>
        </w:tabs>
        <w:spacing w:line="280" w:lineRule="atLeast"/>
        <w:jc w:val="both"/>
        <w:rPr>
          <w:b/>
          <w:color w:val="000000"/>
          <w:spacing w:val="6"/>
          <w:sz w:val="22"/>
          <w:szCs w:val="22"/>
        </w:rPr>
      </w:pPr>
      <w:bookmarkStart w:id="122" w:name="tra262"/>
      <w:bookmarkEnd w:id="122"/>
      <w:r>
        <w:rPr>
          <w:b/>
          <w:color w:val="000000"/>
          <w:sz w:val="26"/>
          <w:szCs w:val="26"/>
        </w:rPr>
        <w:t>Tratamiento notarial</w:t>
      </w:r>
    </w:p>
    <w:p w14:paraId="76EF3574" w14:textId="77777777" w:rsidR="00EE1145" w:rsidRDefault="00EE1145">
      <w:pPr>
        <w:spacing w:line="280" w:lineRule="atLeast"/>
        <w:ind w:left="1440"/>
        <w:jc w:val="both"/>
        <w:rPr>
          <w:spacing w:val="6"/>
          <w:sz w:val="26"/>
          <w:szCs w:val="26"/>
          <w:u w:val="single"/>
        </w:rPr>
      </w:pPr>
      <w:r>
        <w:rPr>
          <w:rFonts w:ascii="CG Times" w:hAnsi="CG Times"/>
          <w:sz w:val="26"/>
          <w:szCs w:val="26"/>
        </w:rPr>
        <w:t xml:space="preserve">Añadir a la correspondiente declaración fiscal relativa a la explotación agraria prioritaria lo siguiente: </w:t>
      </w:r>
    </w:p>
    <w:p w14:paraId="51E299D4" w14:textId="77777777" w:rsidR="00EE1145" w:rsidRDefault="00EE1145" w:rsidP="00525040">
      <w:pPr>
        <w:spacing w:after="60"/>
        <w:ind w:left="1440"/>
        <w:jc w:val="both"/>
        <w:rPr>
          <w:rFonts w:ascii="CG Times" w:hAnsi="CG Times"/>
          <w:sz w:val="26"/>
          <w:szCs w:val="26"/>
        </w:rPr>
      </w:pPr>
      <w:r>
        <w:rPr>
          <w:rFonts w:ascii="CG Times" w:hAnsi="CG Times"/>
          <w:sz w:val="26"/>
          <w:szCs w:val="26"/>
        </w:rPr>
        <w:t>"</w:t>
      </w:r>
      <w:r>
        <w:rPr>
          <w:rFonts w:ascii="CG Times" w:hAnsi="CG Times"/>
          <w:b/>
          <w:sz w:val="26"/>
          <w:szCs w:val="26"/>
        </w:rPr>
        <w:t>E) Declaraciones fiscales.-</w:t>
      </w:r>
      <w:r>
        <w:rPr>
          <w:rFonts w:ascii="CG Times" w:hAnsi="CG Times"/>
          <w:sz w:val="26"/>
          <w:szCs w:val="26"/>
        </w:rPr>
        <w:t xml:space="preserve"> … A mayores, a la parte de base imponible no sujeta a reducción de conformidad con lo dispuesto en la </w:t>
      </w:r>
      <w:hyperlink r:id="rId176" w:history="1">
        <w:r w:rsidRPr="00272AE3">
          <w:rPr>
            <w:rStyle w:val="Hipervnculo"/>
            <w:spacing w:val="6"/>
            <w:sz w:val="26"/>
            <w:szCs w:val="26"/>
          </w:rPr>
          <w:t>Ley 19/1995 de Modernización de las explotaciones agrarias</w:t>
        </w:r>
      </w:hyperlink>
      <w:r>
        <w:rPr>
          <w:spacing w:val="6"/>
          <w:sz w:val="26"/>
          <w:szCs w:val="26"/>
        </w:rPr>
        <w:t>,</w:t>
      </w:r>
      <w:r>
        <w:rPr>
          <w:i/>
          <w:spacing w:val="6"/>
          <w:sz w:val="26"/>
          <w:szCs w:val="26"/>
        </w:rPr>
        <w:t xml:space="preserve"> </w:t>
      </w:r>
      <w:r>
        <w:rPr>
          <w:rFonts w:ascii="CG Times" w:hAnsi="CG Times"/>
          <w:sz w:val="26"/>
          <w:szCs w:val="26"/>
        </w:rPr>
        <w:t>las partes manifiestan que es de aplicación el tipo reducido del 3%</w:t>
      </w:r>
      <w:r w:rsidR="000E7B77">
        <w:rPr>
          <w:rFonts w:ascii="CG Times" w:hAnsi="CG Times"/>
          <w:sz w:val="26"/>
          <w:szCs w:val="26"/>
        </w:rPr>
        <w:t xml:space="preserve"> d</w:t>
      </w:r>
      <w:r>
        <w:rPr>
          <w:rFonts w:ascii="CG Times" w:hAnsi="CG Times"/>
          <w:sz w:val="26"/>
          <w:szCs w:val="26"/>
        </w:rPr>
        <w:t xml:space="preserve">el </w:t>
      </w:r>
      <w:hyperlink r:id="rId177" w:anchor="a28" w:history="1">
        <w:r>
          <w:rPr>
            <w:rStyle w:val="Hipervnculo"/>
            <w:rFonts w:ascii="CG Times" w:hAnsi="CG Times"/>
            <w:sz w:val="26"/>
            <w:szCs w:val="26"/>
            <w:lang w:val="es-ES"/>
          </w:rPr>
          <w:t>art. 30 del Decreto-legislativo asturiano 2/2014</w:t>
        </w:r>
      </w:hyperlink>
      <w:r w:rsidR="000E7B77">
        <w:rPr>
          <w:rFonts w:ascii="CG Times" w:hAnsi="CG Times"/>
          <w:sz w:val="26"/>
          <w:szCs w:val="26"/>
        </w:rPr>
        <w:t xml:space="preserve"> y la deducción en la cuota del 100% del art. 32 quáter.</w:t>
      </w:r>
    </w:p>
    <w:p w14:paraId="7D342910" w14:textId="77777777" w:rsidR="00EE1145" w:rsidRDefault="00EE1145" w:rsidP="00C854F8">
      <w:pPr>
        <w:numPr>
          <w:ilvl w:val="1"/>
          <w:numId w:val="15"/>
        </w:numPr>
        <w:tabs>
          <w:tab w:val="num" w:pos="993"/>
          <w:tab w:val="num" w:pos="2520"/>
        </w:tabs>
        <w:spacing w:line="280" w:lineRule="atLeast"/>
        <w:jc w:val="both"/>
        <w:rPr>
          <w:b/>
          <w:color w:val="000000"/>
          <w:spacing w:val="6"/>
          <w:sz w:val="22"/>
          <w:szCs w:val="22"/>
        </w:rPr>
      </w:pPr>
      <w:r>
        <w:rPr>
          <w:b/>
          <w:color w:val="000000"/>
          <w:spacing w:val="6"/>
          <w:sz w:val="26"/>
          <w:szCs w:val="26"/>
        </w:rPr>
        <w:t>Tipo incrementado del 1,5% en AJD por transmisiones en que SÍ se ejercite la renuncia a la exención de IVA</w:t>
      </w:r>
    </w:p>
    <w:p w14:paraId="55183CDA" w14:textId="77777777" w:rsidR="00EE1145" w:rsidRDefault="00EE1145" w:rsidP="00C854F8">
      <w:pPr>
        <w:numPr>
          <w:ilvl w:val="2"/>
          <w:numId w:val="15"/>
        </w:numPr>
        <w:tabs>
          <w:tab w:val="num" w:pos="1560"/>
        </w:tabs>
        <w:spacing w:line="280" w:lineRule="atLeast"/>
        <w:jc w:val="both"/>
        <w:rPr>
          <w:b/>
          <w:spacing w:val="6"/>
          <w:sz w:val="22"/>
          <w:szCs w:val="22"/>
        </w:rPr>
      </w:pPr>
      <w:r>
        <w:rPr>
          <w:b/>
          <w:spacing w:val="6"/>
          <w:sz w:val="26"/>
          <w:szCs w:val="26"/>
        </w:rPr>
        <w:t>Normativa vigente</w:t>
      </w:r>
    </w:p>
    <w:p w14:paraId="1DE362B8" w14:textId="77777777" w:rsidR="00EE1145" w:rsidRDefault="00EE1145">
      <w:pPr>
        <w:spacing w:line="280" w:lineRule="atLeast"/>
        <w:ind w:left="1440"/>
        <w:jc w:val="both"/>
        <w:rPr>
          <w:spacing w:val="6"/>
          <w:sz w:val="26"/>
          <w:szCs w:val="26"/>
        </w:rPr>
      </w:pPr>
      <w:hyperlink r:id="rId178" w:anchor="a29" w:history="1">
        <w:r>
          <w:rPr>
            <w:rStyle w:val="Hipervnculo"/>
            <w:rFonts w:ascii="Times New Roman" w:hAnsi="Times New Roman"/>
            <w:sz w:val="26"/>
            <w:szCs w:val="26"/>
            <w:lang w:val="es-ES"/>
          </w:rPr>
          <w:t>Art. 36 del Decreto-legislativo asturiano 2/2014</w:t>
        </w:r>
      </w:hyperlink>
      <w:r>
        <w:rPr>
          <w:spacing w:val="6"/>
          <w:sz w:val="26"/>
          <w:szCs w:val="26"/>
        </w:rPr>
        <w:t>: Tipo incrementado del 1,5% en AJD (en vez de 1,2%)  por las transmisiones inmobiliarias en las que teniendo derecho a la exención de IVA sí se ejercite la renuncia a dicha exención.</w:t>
      </w:r>
    </w:p>
    <w:p w14:paraId="374EF96C" w14:textId="77777777" w:rsidR="00EE1145" w:rsidRDefault="00EE1145">
      <w:pPr>
        <w:spacing w:line="280" w:lineRule="atLeast"/>
        <w:ind w:left="1440"/>
        <w:jc w:val="both"/>
        <w:rPr>
          <w:spacing w:val="6"/>
          <w:sz w:val="26"/>
          <w:szCs w:val="26"/>
        </w:rPr>
      </w:pPr>
      <w:r>
        <w:rPr>
          <w:spacing w:val="6"/>
          <w:sz w:val="26"/>
          <w:szCs w:val="26"/>
        </w:rPr>
        <w:t xml:space="preserve">Tales supuestos en los que cabe la renuncia a la exención de IVA son los previstos en </w:t>
      </w:r>
      <w:hyperlink r:id="rId179" w:anchor="a20" w:history="1">
        <w:r>
          <w:rPr>
            <w:rStyle w:val="Hipervnculo"/>
            <w:spacing w:val="6"/>
            <w:sz w:val="26"/>
            <w:szCs w:val="26"/>
          </w:rPr>
          <w:t>los números 20 y 22 del art. 20-Uno de la Ley 37/1992</w:t>
        </w:r>
      </w:hyperlink>
      <w:r>
        <w:rPr>
          <w:rStyle w:val="Refdenotaalfinal"/>
          <w:b/>
          <w:spacing w:val="6"/>
          <w:sz w:val="28"/>
          <w:szCs w:val="28"/>
        </w:rPr>
        <w:endnoteReference w:id="20"/>
      </w:r>
      <w:r>
        <w:rPr>
          <w:spacing w:val="6"/>
          <w:sz w:val="26"/>
          <w:szCs w:val="26"/>
        </w:rPr>
        <w:t xml:space="preserve">  y vienen referidos básicamente a:</w:t>
      </w:r>
    </w:p>
    <w:p w14:paraId="6BC37022" w14:textId="77777777" w:rsidR="00EE1145" w:rsidRDefault="00EE1145" w:rsidP="00C854F8">
      <w:pPr>
        <w:numPr>
          <w:ilvl w:val="0"/>
          <w:numId w:val="22"/>
        </w:numPr>
        <w:spacing w:line="280" w:lineRule="atLeast"/>
        <w:jc w:val="both"/>
        <w:rPr>
          <w:spacing w:val="6"/>
          <w:sz w:val="26"/>
          <w:szCs w:val="26"/>
        </w:rPr>
      </w:pPr>
      <w:r>
        <w:rPr>
          <w:spacing w:val="6"/>
          <w:sz w:val="26"/>
          <w:szCs w:val="26"/>
        </w:rPr>
        <w:t>Primeras entregas de terrenos rústicos y demás no edificables.</w:t>
      </w:r>
    </w:p>
    <w:p w14:paraId="43B1C8A1" w14:textId="77777777" w:rsidR="00EE1145" w:rsidRDefault="00EE1145" w:rsidP="00C854F8">
      <w:pPr>
        <w:numPr>
          <w:ilvl w:val="0"/>
          <w:numId w:val="22"/>
        </w:numPr>
        <w:spacing w:line="280" w:lineRule="atLeast"/>
        <w:jc w:val="both"/>
        <w:rPr>
          <w:spacing w:val="6"/>
          <w:sz w:val="26"/>
          <w:szCs w:val="26"/>
        </w:rPr>
      </w:pPr>
      <w:r>
        <w:rPr>
          <w:spacing w:val="6"/>
          <w:sz w:val="26"/>
          <w:szCs w:val="26"/>
        </w:rPr>
        <w:t>Segundas y ulteriores entregas de edificaciones.</w:t>
      </w:r>
    </w:p>
    <w:p w14:paraId="166AA122" w14:textId="77777777" w:rsidR="00EE1145" w:rsidRDefault="00EE1145">
      <w:pPr>
        <w:spacing w:line="280" w:lineRule="atLeast"/>
        <w:ind w:left="1440"/>
        <w:jc w:val="both"/>
        <w:rPr>
          <w:bCs/>
          <w:spacing w:val="6"/>
          <w:sz w:val="26"/>
          <w:szCs w:val="26"/>
          <w:lang w:val="es-ES"/>
        </w:rPr>
      </w:pPr>
      <w:r>
        <w:rPr>
          <w:spacing w:val="6"/>
          <w:sz w:val="26"/>
          <w:szCs w:val="26"/>
        </w:rPr>
        <w:t>En tales casos</w:t>
      </w:r>
      <w:r>
        <w:rPr>
          <w:bCs/>
          <w:spacing w:val="6"/>
          <w:sz w:val="26"/>
          <w:szCs w:val="26"/>
          <w:lang w:val="es-ES"/>
        </w:rPr>
        <w:t xml:space="preserve"> "</w:t>
      </w:r>
      <w:r>
        <w:rPr>
          <w:bCs/>
          <w:i/>
          <w:spacing w:val="6"/>
          <w:sz w:val="26"/>
          <w:szCs w:val="26"/>
          <w:lang w:val="es-ES"/>
        </w:rPr>
        <w:t>... podrán ser objeto de renuncia por el sujeto pasivo, en la forma y con los requisitos que se determinen reglamentariamente, cuando el adquirente sea un sujeto pasivo que actúe en el ejercicio de sus actividades empresariales o profesionales y se le atribuya el derecho a efectuar la deducción total o parcial del Impuesto soportado al realizar la adquisición o, cuando no cumpliéndose lo anterior, en función de su destino previsible, los bienes adquiridos vayan a ser utilizados, total o parcialmente, en la realización de operaciones, que originen el derecho a la deducción…</w:t>
      </w:r>
      <w:r>
        <w:rPr>
          <w:bCs/>
          <w:spacing w:val="6"/>
          <w:sz w:val="26"/>
          <w:szCs w:val="26"/>
          <w:lang w:val="es-ES"/>
        </w:rPr>
        <w:t>” (</w:t>
      </w:r>
      <w:hyperlink r:id="rId180" w:anchor="a20" w:history="1">
        <w:r>
          <w:rPr>
            <w:rStyle w:val="Hipervnculo"/>
            <w:bCs/>
            <w:spacing w:val="6"/>
            <w:sz w:val="26"/>
            <w:szCs w:val="26"/>
            <w:lang w:val="es-ES"/>
          </w:rPr>
          <w:t>art. 20-Dos Ley IVA</w:t>
        </w:r>
      </w:hyperlink>
      <w:r>
        <w:rPr>
          <w:b/>
          <w:bCs/>
          <w:spacing w:val="6"/>
          <w:sz w:val="26"/>
          <w:szCs w:val="26"/>
          <w:vertAlign w:val="superscript"/>
          <w:lang w:val="es-ES"/>
        </w:rPr>
        <w:endnoteReference w:id="21"/>
      </w:r>
      <w:r>
        <w:rPr>
          <w:bCs/>
          <w:spacing w:val="6"/>
          <w:sz w:val="26"/>
          <w:szCs w:val="26"/>
          <w:lang w:val="es-ES"/>
        </w:rPr>
        <w:t>).</w:t>
      </w:r>
    </w:p>
    <w:p w14:paraId="13B44442" w14:textId="77777777" w:rsidR="00EE1145" w:rsidRDefault="00EE1145">
      <w:pPr>
        <w:spacing w:line="280" w:lineRule="atLeast"/>
        <w:ind w:left="1440"/>
        <w:jc w:val="both"/>
        <w:rPr>
          <w:bCs/>
          <w:spacing w:val="6"/>
          <w:sz w:val="26"/>
          <w:szCs w:val="26"/>
          <w:lang w:val="es-ES"/>
        </w:rPr>
      </w:pPr>
      <w:r>
        <w:rPr>
          <w:bCs/>
          <w:spacing w:val="6"/>
          <w:sz w:val="26"/>
          <w:szCs w:val="26"/>
          <w:lang w:val="es-ES"/>
        </w:rPr>
        <w:t>Advertir que:</w:t>
      </w:r>
    </w:p>
    <w:p w14:paraId="05AB6695" w14:textId="77777777" w:rsidR="00EE1145" w:rsidRDefault="00EE1145" w:rsidP="00C854F8">
      <w:pPr>
        <w:numPr>
          <w:ilvl w:val="0"/>
          <w:numId w:val="23"/>
        </w:numPr>
        <w:spacing w:line="280" w:lineRule="atLeast"/>
        <w:jc w:val="both"/>
        <w:rPr>
          <w:bCs/>
          <w:spacing w:val="6"/>
          <w:sz w:val="26"/>
          <w:szCs w:val="26"/>
          <w:lang w:val="es-ES"/>
        </w:rPr>
      </w:pPr>
      <w:r>
        <w:rPr>
          <w:spacing w:val="6"/>
          <w:sz w:val="26"/>
          <w:szCs w:val="26"/>
          <w:lang w:val="es-ES"/>
        </w:rPr>
        <w:t>La renuncia a la exención de IVA determina desde el 31 de Octubre de 2012 la inversión del sujeto pasivo.</w:t>
      </w:r>
    </w:p>
    <w:p w14:paraId="1B8B0400" w14:textId="77777777" w:rsidR="00EE1145" w:rsidRDefault="00EE1145" w:rsidP="00C854F8">
      <w:pPr>
        <w:numPr>
          <w:ilvl w:val="0"/>
          <w:numId w:val="23"/>
        </w:numPr>
        <w:spacing w:line="280" w:lineRule="atLeast"/>
        <w:jc w:val="both"/>
        <w:rPr>
          <w:bCs/>
          <w:spacing w:val="6"/>
          <w:sz w:val="26"/>
          <w:szCs w:val="26"/>
          <w:lang w:val="es-ES"/>
        </w:rPr>
      </w:pPr>
      <w:r>
        <w:rPr>
          <w:spacing w:val="6"/>
          <w:sz w:val="26"/>
          <w:szCs w:val="26"/>
          <w:lang w:val="es-ES"/>
        </w:rPr>
        <w:lastRenderedPageBreak/>
        <w:t>Desde el 1 de enero de 2015 ya no es necesario que el adquirente tenga derecho a la deducción total del IVA.</w:t>
      </w:r>
    </w:p>
    <w:p w14:paraId="3F252B5F" w14:textId="77777777" w:rsidR="00EE1145" w:rsidRDefault="00EE1145" w:rsidP="00C854F8">
      <w:pPr>
        <w:numPr>
          <w:ilvl w:val="0"/>
          <w:numId w:val="23"/>
        </w:numPr>
        <w:spacing w:line="280" w:lineRule="atLeast"/>
        <w:jc w:val="both"/>
        <w:rPr>
          <w:bCs/>
          <w:spacing w:val="6"/>
          <w:sz w:val="26"/>
          <w:szCs w:val="26"/>
          <w:lang w:val="es-ES"/>
        </w:rPr>
      </w:pPr>
      <w:r>
        <w:rPr>
          <w:spacing w:val="6"/>
          <w:sz w:val="26"/>
          <w:szCs w:val="26"/>
          <w:lang w:val="es-ES"/>
        </w:rPr>
        <w:t>En los supuestos de renuncia a la exención de IVA, las Comunidades Autónomas suelen aplicar un tipo incrementado al Impuesto sobre Actos Jurídicos Documentados. Por ejemplo, Andalucía (2% en vez del 1,5%), Asturias (1,5% en vez de 1,2%) y Galicia (2% en vez del 1,5%).</w:t>
      </w:r>
    </w:p>
    <w:p w14:paraId="0FFDBE45" w14:textId="77777777" w:rsidR="00EE1145" w:rsidRDefault="00EE1145" w:rsidP="00C854F8">
      <w:pPr>
        <w:numPr>
          <w:ilvl w:val="2"/>
          <w:numId w:val="15"/>
        </w:numPr>
        <w:tabs>
          <w:tab w:val="left" w:pos="1560"/>
        </w:tabs>
        <w:spacing w:line="280" w:lineRule="atLeast"/>
        <w:jc w:val="both"/>
        <w:rPr>
          <w:b/>
          <w:spacing w:val="6"/>
          <w:sz w:val="22"/>
          <w:szCs w:val="22"/>
        </w:rPr>
      </w:pPr>
      <w:r>
        <w:rPr>
          <w:b/>
          <w:sz w:val="26"/>
          <w:szCs w:val="26"/>
        </w:rPr>
        <w:t>Tratamiento notarial</w:t>
      </w:r>
    </w:p>
    <w:p w14:paraId="14791FFB" w14:textId="77777777" w:rsidR="00EE1145" w:rsidRDefault="00EE1145">
      <w:pPr>
        <w:spacing w:line="280" w:lineRule="atLeast"/>
        <w:ind w:left="1440"/>
        <w:jc w:val="both"/>
        <w:rPr>
          <w:spacing w:val="6"/>
          <w:sz w:val="26"/>
          <w:szCs w:val="26"/>
          <w:u w:val="single"/>
        </w:rPr>
      </w:pPr>
      <w:r>
        <w:rPr>
          <w:rFonts w:ascii="CG Times" w:hAnsi="CG Times"/>
          <w:sz w:val="26"/>
          <w:szCs w:val="26"/>
        </w:rPr>
        <w:t xml:space="preserve">Incluir la siguiente cláusula en las Estipulaciones: </w:t>
      </w:r>
    </w:p>
    <w:p w14:paraId="05CC9B88" w14:textId="77777777" w:rsidR="00EE1145" w:rsidRDefault="00EE1145">
      <w:pPr>
        <w:spacing w:line="280" w:lineRule="atLeast"/>
        <w:ind w:left="1440"/>
        <w:jc w:val="both"/>
        <w:rPr>
          <w:rFonts w:ascii="CG Times" w:hAnsi="CG Times"/>
          <w:bCs/>
          <w:sz w:val="26"/>
          <w:szCs w:val="26"/>
        </w:rPr>
      </w:pPr>
      <w:bookmarkStart w:id="123" w:name="B4"/>
      <w:bookmarkEnd w:id="123"/>
      <w:r>
        <w:rPr>
          <w:rFonts w:ascii="CG Times" w:hAnsi="CG Times"/>
          <w:bCs/>
          <w:sz w:val="26"/>
          <w:szCs w:val="26"/>
        </w:rPr>
        <w:t xml:space="preserve">“ </w:t>
      </w:r>
      <w:r>
        <w:rPr>
          <w:rFonts w:ascii="CG Times" w:hAnsi="CG Times"/>
          <w:bCs/>
          <w:sz w:val="26"/>
          <w:szCs w:val="26"/>
          <w:u w:val="single"/>
        </w:rPr>
        <w:t>Quinta.- I.V.A.-</w:t>
      </w:r>
      <w:r>
        <w:rPr>
          <w:rFonts w:ascii="CG Times" w:hAnsi="CG Times"/>
          <w:bCs/>
          <w:sz w:val="26"/>
          <w:szCs w:val="26"/>
        </w:rPr>
        <w:t xml:space="preserve"> Declaran los otorgantes que la entrega del bien inmueble que se efectúa mediante la presente escritura es una operación sujeta al Impuesto sobre el Valor Añadido, a la que le es aplicable la exención renunciable establecida ***</w:t>
      </w:r>
      <w:r>
        <w:rPr>
          <w:rFonts w:ascii="CG Times" w:hAnsi="CG Times"/>
          <w:bCs/>
          <w:i/>
          <w:sz w:val="26"/>
          <w:szCs w:val="26"/>
        </w:rPr>
        <w:t xml:space="preserve"> terrenos rústicos y demás no edificables</w:t>
      </w:r>
      <w:r>
        <w:rPr>
          <w:rFonts w:ascii="CG Times" w:hAnsi="CG Times"/>
          <w:bCs/>
          <w:sz w:val="26"/>
          <w:szCs w:val="26"/>
        </w:rPr>
        <w:t xml:space="preserve">  en el </w:t>
      </w:r>
      <w:hyperlink r:id="rId181" w:anchor="a20" w:history="1">
        <w:r>
          <w:rPr>
            <w:rStyle w:val="Hipervnculo"/>
            <w:rFonts w:ascii="CG Times" w:hAnsi="CG Times"/>
            <w:bCs/>
            <w:sz w:val="26"/>
            <w:szCs w:val="26"/>
          </w:rPr>
          <w:t>artículo 20-uno-20 de la Ley 37/1992</w:t>
        </w:r>
      </w:hyperlink>
      <w:r>
        <w:rPr>
          <w:rFonts w:ascii="CG Times" w:hAnsi="CG Times"/>
          <w:bCs/>
          <w:sz w:val="26"/>
          <w:szCs w:val="26"/>
        </w:rPr>
        <w:t xml:space="preserve"> (tras su reforma por la Ley 28/2014, en vigor desde el 1 de enero de 2015) ***</w:t>
      </w:r>
      <w:r>
        <w:rPr>
          <w:rFonts w:ascii="CG Times" w:hAnsi="CG Times"/>
          <w:bCs/>
          <w:i/>
          <w:sz w:val="26"/>
          <w:szCs w:val="26"/>
        </w:rPr>
        <w:t xml:space="preserve"> segunda transmisión de edificaciones </w:t>
      </w:r>
      <w:r>
        <w:rPr>
          <w:rFonts w:ascii="CG Times" w:hAnsi="CG Times"/>
          <w:bCs/>
          <w:sz w:val="26"/>
          <w:szCs w:val="26"/>
        </w:rPr>
        <w:t xml:space="preserve">en el </w:t>
      </w:r>
      <w:hyperlink r:id="rId182" w:anchor="a20" w:history="1">
        <w:r>
          <w:rPr>
            <w:rStyle w:val="Hipervnculo"/>
            <w:rFonts w:ascii="CG Times" w:hAnsi="CG Times"/>
            <w:bCs/>
            <w:sz w:val="26"/>
            <w:szCs w:val="26"/>
          </w:rPr>
          <w:t>artículo 20-uno-22 de la Ley 37/1992</w:t>
        </w:r>
      </w:hyperlink>
      <w:r>
        <w:rPr>
          <w:rFonts w:ascii="CG Times" w:hAnsi="CG Times"/>
          <w:bCs/>
          <w:sz w:val="26"/>
          <w:szCs w:val="26"/>
        </w:rPr>
        <w:t xml:space="preserve"> (tras su reforma por la Ley 28/2014, en vigor desde el 1 de enero de 2015). La parte transmitente, conforme a lo prevenido en el </w:t>
      </w:r>
      <w:hyperlink r:id="rId183" w:anchor="a20" w:history="1">
        <w:r>
          <w:rPr>
            <w:rStyle w:val="Hipervnculo"/>
            <w:rFonts w:ascii="CG Times" w:hAnsi="CG Times"/>
            <w:bCs/>
            <w:sz w:val="26"/>
            <w:szCs w:val="26"/>
          </w:rPr>
          <w:t>artículo 20-dos de la Ley 37/1992</w:t>
        </w:r>
      </w:hyperlink>
      <w:r>
        <w:rPr>
          <w:rFonts w:ascii="CG Times" w:hAnsi="CG Times"/>
          <w:bCs/>
          <w:sz w:val="26"/>
          <w:szCs w:val="26"/>
        </w:rPr>
        <w:t>, renuncia expresamente a la exención. A tal  fin, esta  escritura sirve de comunicación fehaciente al adquirente, quien toma razón de la renuncia efectuada, al tiempo que manifiesta su condición de sujeto pasivo del Impuesto sobre el Valor Añadido, que actúa en el ejercicio de su actividad empresarial, con derecho a la deducción total o parcial del impuesto soportado por esta adquisición.</w:t>
      </w:r>
    </w:p>
    <w:p w14:paraId="15775E7D" w14:textId="77777777" w:rsidR="00EE1145" w:rsidRDefault="00EE1145">
      <w:pPr>
        <w:tabs>
          <w:tab w:val="num" w:pos="2520"/>
        </w:tabs>
        <w:spacing w:line="280" w:lineRule="atLeast"/>
        <w:ind w:left="1440"/>
        <w:jc w:val="both"/>
        <w:rPr>
          <w:rFonts w:ascii="CG Times" w:hAnsi="CG Times"/>
          <w:bCs/>
          <w:sz w:val="26"/>
          <w:szCs w:val="26"/>
        </w:rPr>
      </w:pPr>
      <w:r>
        <w:rPr>
          <w:rFonts w:ascii="CG Times" w:hAnsi="CG Times"/>
          <w:bCs/>
          <w:sz w:val="26"/>
          <w:szCs w:val="26"/>
        </w:rPr>
        <w:t xml:space="preserve">En consecuencia, conforme a la inversión del sujeto pasivo del </w:t>
      </w:r>
      <w:hyperlink r:id="rId184" w:anchor="a84" w:history="1">
        <w:r>
          <w:rPr>
            <w:rStyle w:val="Hipervnculo"/>
            <w:rFonts w:ascii="CG Times" w:hAnsi="CG Times"/>
            <w:bCs/>
            <w:sz w:val="26"/>
            <w:szCs w:val="26"/>
          </w:rPr>
          <w:t>artículo 84-uno-2-e) de la Ley 37/1992</w:t>
        </w:r>
      </w:hyperlink>
      <w:r>
        <w:rPr>
          <w:rFonts w:ascii="CG Times" w:hAnsi="CG Times"/>
          <w:bCs/>
          <w:sz w:val="26"/>
          <w:szCs w:val="26"/>
        </w:rPr>
        <w:t xml:space="preserve">, en su redacción dada por la Ley 7/2012 (en vigor desde el 31 de octubre de 2012), será sujeto pasivo el adquirente  y, por tanto, el obligado al ingreso mediante la correspondiente declaración-liquidación en la Hacienda Pública de la cuota resultante de ***, correspondiente al Impuesto sobre el Valor Añadido que grava la transmisión *** </w:t>
      </w:r>
      <w:r>
        <w:rPr>
          <w:rFonts w:ascii="CG Times" w:hAnsi="CG Times"/>
          <w:bCs/>
          <w:i/>
          <w:sz w:val="26"/>
          <w:szCs w:val="26"/>
        </w:rPr>
        <w:t xml:space="preserve">vivienda terminada </w:t>
      </w:r>
      <w:r>
        <w:rPr>
          <w:rFonts w:ascii="CG Times" w:hAnsi="CG Times"/>
          <w:bCs/>
          <w:sz w:val="26"/>
          <w:szCs w:val="26"/>
        </w:rPr>
        <w:t>al tipo del 10% (</w:t>
      </w:r>
      <w:hyperlink r:id="rId185" w:anchor="a91" w:history="1">
        <w:r>
          <w:rPr>
            <w:rStyle w:val="Hipervnculo"/>
            <w:rFonts w:ascii="CG Times" w:hAnsi="CG Times"/>
            <w:bCs/>
            <w:sz w:val="26"/>
            <w:szCs w:val="26"/>
          </w:rPr>
          <w:t>artículo 91-Uno-1-7º de la Ley 37/1992</w:t>
        </w:r>
      </w:hyperlink>
      <w:r>
        <w:rPr>
          <w:rFonts w:ascii="CG Times" w:hAnsi="CG Times"/>
          <w:bCs/>
          <w:sz w:val="26"/>
          <w:szCs w:val="26"/>
        </w:rPr>
        <w:t xml:space="preserve">, en su redacción dada por el Decreto-ley 20/2012, en vigor desde el 1 de enero de 2013) *** </w:t>
      </w:r>
      <w:r>
        <w:rPr>
          <w:rFonts w:ascii="CG Times" w:hAnsi="CG Times"/>
          <w:bCs/>
          <w:i/>
          <w:sz w:val="26"/>
          <w:szCs w:val="26"/>
        </w:rPr>
        <w:t>edificaciones distintas de vivienda terminada</w:t>
      </w:r>
      <w:r>
        <w:rPr>
          <w:rFonts w:ascii="CG Times" w:hAnsi="CG Times"/>
          <w:bCs/>
          <w:sz w:val="26"/>
          <w:szCs w:val="26"/>
        </w:rPr>
        <w:t xml:space="preserve"> al tipo del 21% (</w:t>
      </w:r>
      <w:hyperlink r:id="rId186" w:anchor="a90" w:history="1">
        <w:r>
          <w:rPr>
            <w:rStyle w:val="Hipervnculo"/>
            <w:rFonts w:ascii="CG Times" w:hAnsi="CG Times"/>
            <w:bCs/>
            <w:sz w:val="26"/>
            <w:szCs w:val="26"/>
          </w:rPr>
          <w:t>artículo 90-Uno de la Ley 37/1992</w:t>
        </w:r>
      </w:hyperlink>
      <w:r>
        <w:rPr>
          <w:rFonts w:ascii="CG Times" w:hAnsi="CG Times"/>
          <w:bCs/>
          <w:sz w:val="26"/>
          <w:szCs w:val="26"/>
        </w:rPr>
        <w:t xml:space="preserve">, en su redacción dada por el Decreto-ley 20/2012, en vigor desde el 1 de septiembre de 2012) *** </w:t>
      </w:r>
      <w:r>
        <w:rPr>
          <w:rFonts w:ascii="CG Times" w:hAnsi="CG Times"/>
          <w:bCs/>
          <w:i/>
          <w:sz w:val="26"/>
          <w:szCs w:val="26"/>
        </w:rPr>
        <w:t>terrenos rústicos y demás no edificables</w:t>
      </w:r>
      <w:r>
        <w:rPr>
          <w:rFonts w:ascii="CG Times" w:hAnsi="CG Times"/>
          <w:bCs/>
          <w:sz w:val="26"/>
          <w:szCs w:val="26"/>
        </w:rPr>
        <w:t xml:space="preserve"> al tipo del 21% (</w:t>
      </w:r>
      <w:hyperlink r:id="rId187" w:anchor="a90" w:history="1">
        <w:r>
          <w:rPr>
            <w:rStyle w:val="Hipervnculo"/>
            <w:rFonts w:ascii="CG Times" w:hAnsi="CG Times"/>
            <w:bCs/>
            <w:sz w:val="26"/>
            <w:szCs w:val="26"/>
          </w:rPr>
          <w:t>artículo 90-Uno de la Ley 37/1992</w:t>
        </w:r>
      </w:hyperlink>
      <w:r>
        <w:rPr>
          <w:rFonts w:ascii="CG Times" w:hAnsi="CG Times"/>
          <w:bCs/>
          <w:sz w:val="26"/>
          <w:szCs w:val="26"/>
        </w:rPr>
        <w:t>, en su redacción dada por el Decreto-ley 20/2012, en vigor desde el 1 de septiembre de 2012).</w:t>
      </w:r>
    </w:p>
    <w:p w14:paraId="1F70B016" w14:textId="77777777" w:rsidR="00EE1145" w:rsidRDefault="00EE1145" w:rsidP="004876CF">
      <w:pPr>
        <w:tabs>
          <w:tab w:val="num" w:pos="2520"/>
        </w:tabs>
        <w:spacing w:after="60" w:line="280" w:lineRule="atLeast"/>
        <w:ind w:left="1440"/>
        <w:jc w:val="both"/>
        <w:rPr>
          <w:rFonts w:ascii="CG Times" w:hAnsi="CG Times"/>
          <w:bCs/>
          <w:sz w:val="26"/>
          <w:szCs w:val="26"/>
        </w:rPr>
      </w:pPr>
      <w:r>
        <w:rPr>
          <w:rFonts w:ascii="CG Times" w:hAnsi="CG Times"/>
          <w:bCs/>
          <w:sz w:val="26"/>
          <w:szCs w:val="26"/>
        </w:rPr>
        <w:t xml:space="preserve">Además, en razón de tal sujeción al Impuesto sobre el Valor Añadido, declaran los otorgantes la no sujeción de esta transmisión al concepto   “Transmisiones Patrimoniales Onerosas” del Impuesto sobre Transmisiones Patrimoniales y Actos Jurídicos </w:t>
      </w:r>
      <w:r>
        <w:rPr>
          <w:rFonts w:ascii="CG Times" w:hAnsi="CG Times"/>
          <w:bCs/>
          <w:sz w:val="26"/>
          <w:szCs w:val="26"/>
        </w:rPr>
        <w:lastRenderedPageBreak/>
        <w:t>Documentados (</w:t>
      </w:r>
      <w:hyperlink r:id="rId188" w:anchor="a7" w:history="1">
        <w:r>
          <w:rPr>
            <w:rStyle w:val="Hipervnculo"/>
            <w:rFonts w:ascii="CG Times" w:hAnsi="CG Times"/>
            <w:bCs/>
            <w:sz w:val="26"/>
            <w:szCs w:val="26"/>
          </w:rPr>
          <w:t>artículo 7-5º del Decreto-legislativo 1/1993</w:t>
        </w:r>
      </w:hyperlink>
      <w:r>
        <w:rPr>
          <w:rFonts w:ascii="CG Times" w:hAnsi="CG Times"/>
          <w:bCs/>
          <w:sz w:val="26"/>
          <w:szCs w:val="26"/>
        </w:rPr>
        <w:t xml:space="preserve"> y </w:t>
      </w:r>
      <w:hyperlink r:id="rId189" w:anchor="a4" w:history="1">
        <w:r>
          <w:rPr>
            <w:rStyle w:val="Hipervnculo"/>
            <w:rFonts w:ascii="CG Times" w:hAnsi="CG Times"/>
            <w:bCs/>
            <w:sz w:val="26"/>
            <w:szCs w:val="26"/>
          </w:rPr>
          <w:t>artículo 4-Cuatro de la Ley 37/1992</w:t>
        </w:r>
      </w:hyperlink>
      <w:r>
        <w:rPr>
          <w:rFonts w:ascii="CG Times" w:hAnsi="CG Times"/>
          <w:bCs/>
          <w:sz w:val="26"/>
          <w:szCs w:val="26"/>
        </w:rPr>
        <w:t xml:space="preserve">); sin perjuicio de estar sujeta al concepto “Actos Jurídicos Documentados” *** </w:t>
      </w:r>
      <w:r>
        <w:rPr>
          <w:rFonts w:ascii="CG Times" w:hAnsi="CG Times"/>
          <w:bCs/>
          <w:i/>
          <w:sz w:val="26"/>
          <w:szCs w:val="26"/>
        </w:rPr>
        <w:t>Andalucía</w:t>
      </w:r>
      <w:r>
        <w:rPr>
          <w:rFonts w:ascii="CG Times" w:hAnsi="CG Times"/>
          <w:bCs/>
          <w:sz w:val="26"/>
          <w:szCs w:val="26"/>
        </w:rPr>
        <w:t xml:space="preserve"> al tipo incrementado del 2% (</w:t>
      </w:r>
      <w:hyperlink r:id="rId190" w:anchor="a29" w:history="1">
        <w:r>
          <w:rPr>
            <w:rStyle w:val="Hipervnculo"/>
            <w:rFonts w:ascii="CG Times" w:hAnsi="CG Times"/>
            <w:bCs/>
            <w:sz w:val="26"/>
            <w:szCs w:val="26"/>
          </w:rPr>
          <w:t>artículo 29 del Decreto-Legislativo andaluz 1/2009</w:t>
        </w:r>
      </w:hyperlink>
      <w:r>
        <w:rPr>
          <w:rFonts w:ascii="CG Times" w:hAnsi="CG Times"/>
          <w:bCs/>
          <w:sz w:val="26"/>
          <w:szCs w:val="26"/>
        </w:rPr>
        <w:t xml:space="preserve">) </w:t>
      </w:r>
      <w:r>
        <w:rPr>
          <w:rFonts w:ascii="CG Times" w:hAnsi="CG Times"/>
          <w:bCs/>
          <w:i/>
          <w:sz w:val="26"/>
          <w:szCs w:val="26"/>
        </w:rPr>
        <w:t>Asturias</w:t>
      </w:r>
      <w:r>
        <w:rPr>
          <w:rFonts w:ascii="CG Times" w:hAnsi="CG Times"/>
          <w:bCs/>
          <w:sz w:val="26"/>
          <w:szCs w:val="26"/>
        </w:rPr>
        <w:t xml:space="preserve"> al tipo incrementado del 1,5% (</w:t>
      </w:r>
      <w:hyperlink r:id="rId191" w:anchor="a29" w:history="1">
        <w:r>
          <w:rPr>
            <w:rStyle w:val="Hipervnculo"/>
            <w:rFonts w:ascii="CG Times" w:hAnsi="CG Times"/>
            <w:bCs/>
            <w:sz w:val="26"/>
            <w:szCs w:val="26"/>
          </w:rPr>
          <w:t>artículo 36 del Decreto-legislativo asturiano 2/2014</w:t>
        </w:r>
      </w:hyperlink>
      <w:r>
        <w:rPr>
          <w:rFonts w:ascii="CG Times" w:hAnsi="CG Times"/>
          <w:bCs/>
          <w:sz w:val="26"/>
          <w:szCs w:val="26"/>
        </w:rPr>
        <w:t xml:space="preserve">) *** </w:t>
      </w:r>
      <w:r>
        <w:rPr>
          <w:rFonts w:ascii="CG Times" w:hAnsi="CG Times"/>
          <w:bCs/>
          <w:i/>
          <w:sz w:val="26"/>
          <w:szCs w:val="26"/>
        </w:rPr>
        <w:t>Galicia</w:t>
      </w:r>
      <w:r>
        <w:rPr>
          <w:rFonts w:ascii="CG Times" w:hAnsi="CG Times"/>
          <w:bCs/>
          <w:sz w:val="26"/>
          <w:szCs w:val="26"/>
        </w:rPr>
        <w:t xml:space="preserve"> al tipo incrementado del 2% (</w:t>
      </w:r>
      <w:hyperlink r:id="rId192" w:anchor="a15" w:history="1">
        <w:r>
          <w:rPr>
            <w:rStyle w:val="Hipervnculo"/>
            <w:rFonts w:ascii="CG Times" w:hAnsi="CG Times"/>
            <w:sz w:val="26"/>
            <w:szCs w:val="26"/>
          </w:rPr>
          <w:t>artículo 15-Siete del Decreto-legislativo gallego 1/2011</w:t>
        </w:r>
      </w:hyperlink>
      <w:r>
        <w:rPr>
          <w:rFonts w:ascii="CG Times" w:hAnsi="CG Times"/>
          <w:sz w:val="26"/>
          <w:szCs w:val="26"/>
        </w:rPr>
        <w:t>)</w:t>
      </w:r>
      <w:r>
        <w:rPr>
          <w:rFonts w:ascii="CG Times" w:hAnsi="CG Times"/>
          <w:bCs/>
          <w:vanish/>
          <w:sz w:val="26"/>
          <w:szCs w:val="26"/>
        </w:rPr>
        <w:t>*</w:t>
      </w:r>
      <w:r>
        <w:rPr>
          <w:rFonts w:ascii="CG Times" w:hAnsi="CG Times"/>
          <w:bCs/>
          <w:sz w:val="26"/>
          <w:szCs w:val="26"/>
        </w:rPr>
        <w:t>”.</w:t>
      </w:r>
    </w:p>
    <w:p w14:paraId="41200B31" w14:textId="77777777" w:rsidR="00EE1145" w:rsidRDefault="00EE1145" w:rsidP="00C854F8">
      <w:pPr>
        <w:numPr>
          <w:ilvl w:val="1"/>
          <w:numId w:val="15"/>
        </w:numPr>
        <w:tabs>
          <w:tab w:val="left" w:pos="993"/>
        </w:tabs>
        <w:spacing w:line="280" w:lineRule="atLeast"/>
        <w:jc w:val="both"/>
        <w:rPr>
          <w:b/>
          <w:color w:val="000000"/>
          <w:spacing w:val="6"/>
          <w:sz w:val="22"/>
          <w:szCs w:val="22"/>
        </w:rPr>
      </w:pPr>
      <w:r>
        <w:rPr>
          <w:b/>
          <w:color w:val="000000"/>
          <w:spacing w:val="6"/>
          <w:sz w:val="26"/>
          <w:szCs w:val="26"/>
        </w:rPr>
        <w:t>Tipo reducido del 2% en TPO por transmisiones en que NO se ejercite la renuncia a la exención de IVA</w:t>
      </w:r>
    </w:p>
    <w:p w14:paraId="055A306B" w14:textId="77777777" w:rsidR="00EE1145" w:rsidRDefault="00EE1145" w:rsidP="00C854F8">
      <w:pPr>
        <w:numPr>
          <w:ilvl w:val="2"/>
          <w:numId w:val="15"/>
        </w:numPr>
        <w:tabs>
          <w:tab w:val="num" w:pos="1560"/>
        </w:tabs>
        <w:spacing w:line="280" w:lineRule="atLeast"/>
        <w:jc w:val="both"/>
        <w:rPr>
          <w:b/>
          <w:spacing w:val="6"/>
          <w:sz w:val="22"/>
          <w:szCs w:val="22"/>
        </w:rPr>
      </w:pPr>
      <w:bookmarkStart w:id="124" w:name="n241"/>
      <w:bookmarkEnd w:id="124"/>
      <w:r>
        <w:rPr>
          <w:b/>
          <w:spacing w:val="6"/>
          <w:sz w:val="26"/>
          <w:szCs w:val="26"/>
        </w:rPr>
        <w:t>Normativa vigente</w:t>
      </w:r>
    </w:p>
    <w:p w14:paraId="700035A3" w14:textId="77777777" w:rsidR="00EE1145" w:rsidRDefault="00EE1145">
      <w:pPr>
        <w:spacing w:line="280" w:lineRule="atLeast"/>
        <w:ind w:left="1440"/>
        <w:jc w:val="both"/>
        <w:rPr>
          <w:spacing w:val="6"/>
          <w:sz w:val="26"/>
          <w:szCs w:val="26"/>
        </w:rPr>
      </w:pPr>
      <w:hyperlink r:id="rId193" w:anchor="a29" w:history="1">
        <w:r>
          <w:rPr>
            <w:rStyle w:val="Hipervnculo"/>
            <w:rFonts w:ascii="Times New Roman" w:hAnsi="Times New Roman"/>
            <w:sz w:val="26"/>
            <w:szCs w:val="26"/>
            <w:lang w:val="es-ES"/>
          </w:rPr>
          <w:t>Art. 29 del Decreto-legislativo asturiano 2/2014</w:t>
        </w:r>
      </w:hyperlink>
      <w:r>
        <w:rPr>
          <w:spacing w:val="6"/>
          <w:sz w:val="26"/>
          <w:szCs w:val="26"/>
        </w:rPr>
        <w:t>: Tipo reducido del 2% en TPO  por las transmisiones inmobiliarias en las que teniendo derecho a la exención de IVA no se ejercite la renuncia a dicha exención.</w:t>
      </w:r>
    </w:p>
    <w:p w14:paraId="531693F7" w14:textId="77777777" w:rsidR="00EE1145" w:rsidRDefault="00EE1145" w:rsidP="00C854F8">
      <w:pPr>
        <w:numPr>
          <w:ilvl w:val="2"/>
          <w:numId w:val="15"/>
        </w:numPr>
        <w:tabs>
          <w:tab w:val="num" w:pos="1560"/>
        </w:tabs>
        <w:spacing w:line="280" w:lineRule="atLeast"/>
        <w:jc w:val="both"/>
        <w:rPr>
          <w:b/>
          <w:spacing w:val="6"/>
          <w:sz w:val="22"/>
          <w:szCs w:val="22"/>
        </w:rPr>
      </w:pPr>
      <w:bookmarkStart w:id="125" w:name="TRA272"/>
      <w:bookmarkEnd w:id="125"/>
      <w:r>
        <w:rPr>
          <w:b/>
          <w:sz w:val="26"/>
          <w:szCs w:val="26"/>
        </w:rPr>
        <w:t>Tratamiento notarial</w:t>
      </w:r>
    </w:p>
    <w:p w14:paraId="24375E59" w14:textId="77777777" w:rsidR="00EE1145" w:rsidRDefault="00EE1145">
      <w:pPr>
        <w:spacing w:line="280" w:lineRule="atLeast"/>
        <w:ind w:left="1440"/>
        <w:jc w:val="both"/>
        <w:rPr>
          <w:spacing w:val="6"/>
          <w:sz w:val="26"/>
          <w:szCs w:val="26"/>
          <w:u w:val="single"/>
        </w:rPr>
      </w:pPr>
      <w:r>
        <w:rPr>
          <w:rFonts w:ascii="CG Times" w:hAnsi="CG Times"/>
          <w:sz w:val="26"/>
          <w:szCs w:val="26"/>
        </w:rPr>
        <w:t xml:space="preserve">Incluir la siguiente cláusula en la Exposición: </w:t>
      </w:r>
    </w:p>
    <w:p w14:paraId="7B2B3A38" w14:textId="77777777" w:rsidR="00EE1145" w:rsidRDefault="00EE1145">
      <w:pPr>
        <w:ind w:left="1440"/>
        <w:jc w:val="both"/>
        <w:rPr>
          <w:rFonts w:ascii="CG Times" w:hAnsi="CG Times"/>
          <w:bCs/>
          <w:sz w:val="26"/>
          <w:szCs w:val="26"/>
        </w:rPr>
      </w:pPr>
      <w:r>
        <w:rPr>
          <w:rFonts w:ascii="CG Times" w:hAnsi="CG Times"/>
          <w:sz w:val="26"/>
          <w:szCs w:val="26"/>
        </w:rPr>
        <w:t>"</w:t>
      </w:r>
      <w:r>
        <w:rPr>
          <w:rFonts w:ascii="CG Times" w:hAnsi="CG Times"/>
          <w:b/>
          <w:sz w:val="26"/>
          <w:szCs w:val="26"/>
        </w:rPr>
        <w:t>E) Declaraciones fiscales.-</w:t>
      </w:r>
      <w:r>
        <w:rPr>
          <w:rFonts w:ascii="CG Times" w:hAnsi="CG Times"/>
          <w:sz w:val="26"/>
          <w:szCs w:val="26"/>
        </w:rPr>
        <w:t xml:space="preserve"> A los efectos previstos en el </w:t>
      </w:r>
      <w:hyperlink r:id="rId194" w:anchor="a28" w:history="1">
        <w:r>
          <w:rPr>
            <w:rStyle w:val="Hipervnculo"/>
            <w:rFonts w:ascii="Times New Roman" w:hAnsi="Times New Roman"/>
            <w:sz w:val="26"/>
            <w:szCs w:val="26"/>
            <w:lang w:val="es-ES"/>
          </w:rPr>
          <w:t>art. 29 del Decreto-legislativo asturiano 2/2014</w:t>
        </w:r>
      </w:hyperlink>
      <w:r>
        <w:rPr>
          <w:rFonts w:ascii="CG Times" w:hAnsi="CG Times"/>
          <w:sz w:val="26"/>
          <w:szCs w:val="26"/>
        </w:rPr>
        <w:t>, las partes manifiestan: - - Q</w:t>
      </w:r>
      <w:r>
        <w:rPr>
          <w:rFonts w:ascii="CG Times" w:hAnsi="CG Times"/>
          <w:bCs/>
          <w:sz w:val="26"/>
          <w:szCs w:val="26"/>
        </w:rPr>
        <w:t>ue la entrega del bien inmueble que se efectúa mediante la presente escritura es una operación sujeta al Impuesto sobre el Valor Añadido, a la que le es aplicable la exención establecida ***</w:t>
      </w:r>
      <w:r>
        <w:rPr>
          <w:rFonts w:ascii="CG Times" w:hAnsi="CG Times"/>
          <w:bCs/>
          <w:i/>
          <w:sz w:val="26"/>
          <w:szCs w:val="26"/>
        </w:rPr>
        <w:t xml:space="preserve"> terrenos rústicos y demás no edificables</w:t>
      </w:r>
      <w:r>
        <w:rPr>
          <w:rFonts w:ascii="CG Times" w:hAnsi="CG Times"/>
          <w:bCs/>
          <w:sz w:val="26"/>
          <w:szCs w:val="26"/>
        </w:rPr>
        <w:t xml:space="preserve">  en el </w:t>
      </w:r>
      <w:hyperlink r:id="rId195" w:anchor="a20" w:history="1">
        <w:r>
          <w:rPr>
            <w:rStyle w:val="Hipervnculo"/>
            <w:rFonts w:ascii="CG Times" w:hAnsi="CG Times"/>
            <w:bCs/>
            <w:sz w:val="26"/>
            <w:szCs w:val="26"/>
          </w:rPr>
          <w:t>artículo 20-uno-20 de la Ley 37/1992</w:t>
        </w:r>
      </w:hyperlink>
      <w:r>
        <w:rPr>
          <w:rFonts w:ascii="CG Times" w:hAnsi="CG Times"/>
          <w:bCs/>
          <w:sz w:val="26"/>
          <w:szCs w:val="26"/>
        </w:rPr>
        <w:t xml:space="preserve"> (tras su reforma por la Ley 28/2014, en vigor desde el 1 de enero de 2015) ***</w:t>
      </w:r>
      <w:r>
        <w:rPr>
          <w:rFonts w:ascii="CG Times" w:hAnsi="CG Times"/>
          <w:bCs/>
          <w:i/>
          <w:sz w:val="26"/>
          <w:szCs w:val="26"/>
        </w:rPr>
        <w:t xml:space="preserve"> segunda transmisión de edificaciones </w:t>
      </w:r>
      <w:r>
        <w:rPr>
          <w:rFonts w:ascii="CG Times" w:hAnsi="CG Times"/>
          <w:bCs/>
          <w:sz w:val="26"/>
          <w:szCs w:val="26"/>
        </w:rPr>
        <w:t xml:space="preserve">en el </w:t>
      </w:r>
      <w:hyperlink r:id="rId196" w:anchor="a20" w:history="1">
        <w:r>
          <w:rPr>
            <w:rStyle w:val="Hipervnculo"/>
            <w:rFonts w:ascii="CG Times" w:hAnsi="CG Times"/>
            <w:bCs/>
            <w:sz w:val="26"/>
            <w:szCs w:val="26"/>
          </w:rPr>
          <w:t>artículo 20-uno-22 de la Ley 37/1992</w:t>
        </w:r>
      </w:hyperlink>
      <w:r>
        <w:rPr>
          <w:rFonts w:ascii="CG Times" w:hAnsi="CG Times"/>
          <w:bCs/>
          <w:sz w:val="26"/>
          <w:szCs w:val="26"/>
        </w:rPr>
        <w:t xml:space="preserve"> (tras su reforma por la Ley 28/2014, en vigor desde el 1 de enero de 2015). </w:t>
      </w:r>
    </w:p>
    <w:p w14:paraId="446577E5" w14:textId="77777777" w:rsidR="00EE1145" w:rsidRDefault="00EE1145">
      <w:pPr>
        <w:ind w:left="1440"/>
        <w:jc w:val="both"/>
        <w:rPr>
          <w:rFonts w:ascii="CG Times" w:hAnsi="CG Times"/>
          <w:sz w:val="26"/>
          <w:szCs w:val="26"/>
        </w:rPr>
      </w:pPr>
      <w:r>
        <w:rPr>
          <w:rFonts w:ascii="CG Times" w:hAnsi="CG Times"/>
          <w:bCs/>
          <w:sz w:val="26"/>
          <w:szCs w:val="26"/>
        </w:rPr>
        <w:t xml:space="preserve">- Que, dado que </w:t>
      </w:r>
      <w:r>
        <w:rPr>
          <w:bCs/>
          <w:spacing w:val="6"/>
          <w:sz w:val="26"/>
          <w:szCs w:val="26"/>
          <w:lang w:val="es-ES"/>
        </w:rPr>
        <w:t>el adquirente es un sujeto pasivo del IVA que actuaría en el ejercicio de sus actividades empresariales o profesionales, con derecho a efectuar la deducción total o parcial del Impuesto soportado</w:t>
      </w:r>
      <w:r>
        <w:rPr>
          <w:rFonts w:ascii="CG Times" w:hAnsi="CG Times"/>
          <w:bCs/>
          <w:sz w:val="26"/>
          <w:szCs w:val="26"/>
        </w:rPr>
        <w:t xml:space="preserve">, dicha exención sería renunciable conforme a lo prevenido en el </w:t>
      </w:r>
      <w:hyperlink r:id="rId197" w:anchor="a20" w:history="1">
        <w:r>
          <w:rPr>
            <w:rStyle w:val="Hipervnculo"/>
            <w:rFonts w:ascii="CG Times" w:hAnsi="CG Times"/>
            <w:bCs/>
            <w:sz w:val="26"/>
            <w:szCs w:val="26"/>
          </w:rPr>
          <w:t>artículo 20-dos de la Ley 37/1992</w:t>
        </w:r>
      </w:hyperlink>
      <w:r>
        <w:rPr>
          <w:rFonts w:ascii="CG Times" w:hAnsi="CG Times"/>
          <w:sz w:val="26"/>
          <w:szCs w:val="26"/>
        </w:rPr>
        <w:t>.</w:t>
      </w:r>
    </w:p>
    <w:p w14:paraId="03B56848" w14:textId="77777777" w:rsidR="00EE1145" w:rsidRDefault="00EE1145" w:rsidP="00525040">
      <w:pPr>
        <w:spacing w:after="60"/>
        <w:ind w:left="1440"/>
        <w:jc w:val="both"/>
        <w:rPr>
          <w:rFonts w:ascii="Times New Roman" w:hAnsi="Times New Roman"/>
          <w:sz w:val="26"/>
          <w:szCs w:val="26"/>
          <w:lang w:val="es-ES"/>
        </w:rPr>
      </w:pPr>
      <w:r>
        <w:rPr>
          <w:rFonts w:ascii="CG Times" w:hAnsi="CG Times"/>
          <w:sz w:val="26"/>
          <w:szCs w:val="26"/>
        </w:rPr>
        <w:t>- Que ambas parte convienen en no ejercitar el derecho a la renuncia a la exención de IVA, sujetándose entonces la transmisión al tipo reducido del 2% en el Impuesto sobre Transmisiones Patrimoniales Onerosas (</w:t>
      </w:r>
      <w:hyperlink r:id="rId198" w:anchor="a28" w:history="1">
        <w:r>
          <w:rPr>
            <w:rStyle w:val="Hipervnculo"/>
            <w:rFonts w:ascii="Times New Roman" w:hAnsi="Times New Roman"/>
            <w:sz w:val="26"/>
            <w:szCs w:val="26"/>
            <w:lang w:val="es-ES"/>
          </w:rPr>
          <w:t>art. 29 del Decreto-legislativo asturiano 2/2014</w:t>
        </w:r>
      </w:hyperlink>
      <w:r>
        <w:rPr>
          <w:rFonts w:ascii="Times New Roman" w:hAnsi="Times New Roman"/>
          <w:sz w:val="26"/>
          <w:szCs w:val="26"/>
          <w:lang w:val="es-ES"/>
        </w:rPr>
        <w:t>)”.</w:t>
      </w:r>
    </w:p>
    <w:p w14:paraId="616E4EB2" w14:textId="77777777" w:rsidR="003B2D75" w:rsidRDefault="003D4AE2" w:rsidP="00C854F8">
      <w:pPr>
        <w:numPr>
          <w:ilvl w:val="1"/>
          <w:numId w:val="15"/>
        </w:numPr>
        <w:tabs>
          <w:tab w:val="left" w:pos="993"/>
        </w:tabs>
        <w:jc w:val="both"/>
        <w:rPr>
          <w:rFonts w:ascii="CG Times" w:hAnsi="CG Times"/>
          <w:b/>
          <w:sz w:val="26"/>
          <w:szCs w:val="26"/>
        </w:rPr>
      </w:pPr>
      <w:bookmarkStart w:id="126" w:name="tipo29"/>
      <w:bookmarkEnd w:id="126"/>
      <w:r>
        <w:rPr>
          <w:rFonts w:ascii="CG Times" w:hAnsi="CG Times"/>
          <w:b/>
          <w:sz w:val="26"/>
          <w:szCs w:val="26"/>
        </w:rPr>
        <w:t xml:space="preserve">Tipo incrementado del 1,5% en AJD </w:t>
      </w:r>
      <w:r w:rsidR="005A0EAC">
        <w:rPr>
          <w:rFonts w:ascii="CG Times" w:hAnsi="CG Times"/>
          <w:b/>
          <w:sz w:val="26"/>
          <w:szCs w:val="26"/>
        </w:rPr>
        <w:t>para</w:t>
      </w:r>
      <w:r>
        <w:rPr>
          <w:rFonts w:ascii="CG Times" w:hAnsi="CG Times"/>
          <w:b/>
          <w:sz w:val="26"/>
          <w:szCs w:val="26"/>
        </w:rPr>
        <w:t xml:space="preserve"> los préstamos hipotecarios (desde el 01/01/2019)</w:t>
      </w:r>
    </w:p>
    <w:p w14:paraId="5FCDF9E0" w14:textId="77777777" w:rsidR="005A0EAC" w:rsidRDefault="003B2D75" w:rsidP="005A0EAC">
      <w:pPr>
        <w:ind w:left="792"/>
        <w:jc w:val="both"/>
        <w:rPr>
          <w:rFonts w:ascii="CG Times" w:hAnsi="CG Times"/>
          <w:b/>
          <w:sz w:val="26"/>
          <w:szCs w:val="26"/>
        </w:rPr>
      </w:pPr>
      <w:r>
        <w:rPr>
          <w:rFonts w:ascii="CG Times" w:hAnsi="CG Times"/>
          <w:sz w:val="26"/>
          <w:szCs w:val="26"/>
          <w:lang w:val="es-ES"/>
        </w:rPr>
        <w:t>E</w:t>
      </w:r>
      <w:r w:rsidRPr="003B2D75">
        <w:rPr>
          <w:rFonts w:ascii="CG Times" w:hAnsi="CG Times"/>
          <w:sz w:val="26"/>
          <w:szCs w:val="26"/>
          <w:lang w:val="es-ES"/>
        </w:rPr>
        <w:t xml:space="preserve">l </w:t>
      </w:r>
      <w:hyperlink r:id="rId199" w:anchor="c5s1" w:history="1">
        <w:r w:rsidRPr="003B2D75">
          <w:rPr>
            <w:rStyle w:val="Hipervnculo"/>
            <w:rFonts w:ascii="CG Times" w:hAnsi="CG Times"/>
            <w:sz w:val="26"/>
            <w:szCs w:val="26"/>
            <w:lang w:val="es-ES"/>
          </w:rPr>
          <w:t>art. 38 de la Ley asturiana 14/2018</w:t>
        </w:r>
      </w:hyperlink>
      <w:r w:rsidRPr="003B2D75">
        <w:rPr>
          <w:rFonts w:ascii="CG Times" w:hAnsi="CG Times"/>
          <w:sz w:val="26"/>
          <w:szCs w:val="26"/>
          <w:lang w:val="es-ES"/>
        </w:rPr>
        <w:t xml:space="preserve"> (en vigor desde el 1 de enero de 2019) añade un </w:t>
      </w:r>
      <w:hyperlink r:id="rId200" w:anchor="a34b" w:history="1">
        <w:r w:rsidRPr="00517F07">
          <w:rPr>
            <w:rStyle w:val="Hipervnculo"/>
            <w:rFonts w:ascii="CG Times" w:hAnsi="CG Times"/>
            <w:sz w:val="26"/>
            <w:szCs w:val="26"/>
            <w:lang w:val="es-ES"/>
          </w:rPr>
          <w:t>art. 34 bis al Decreto-legislativo 2/2014</w:t>
        </w:r>
      </w:hyperlink>
      <w:r w:rsidRPr="003B2D75">
        <w:rPr>
          <w:rFonts w:ascii="CG Times" w:hAnsi="CG Times"/>
          <w:sz w:val="26"/>
          <w:szCs w:val="26"/>
          <w:lang w:val="es-ES"/>
        </w:rPr>
        <w:t>, según el cual, “</w:t>
      </w:r>
      <w:r w:rsidRPr="003B2D75">
        <w:rPr>
          <w:rFonts w:ascii="CG Times" w:hAnsi="CG Times"/>
          <w:i/>
          <w:sz w:val="26"/>
          <w:szCs w:val="26"/>
          <w:lang w:val="es-ES"/>
        </w:rPr>
        <w:t>... Se aplicará el tipo del 1,5 por ciento a las escrituras que documenten préstamos con garantía hipotecaria...</w:t>
      </w:r>
      <w:r w:rsidRPr="003B2D75">
        <w:rPr>
          <w:rFonts w:ascii="CG Times" w:hAnsi="CG Times"/>
          <w:sz w:val="26"/>
          <w:szCs w:val="26"/>
          <w:lang w:val="es-ES"/>
        </w:rPr>
        <w:t>”, frente al tipo general del IAJD del 1,20%.</w:t>
      </w:r>
    </w:p>
    <w:p w14:paraId="7BF7DFD6" w14:textId="77777777" w:rsidR="005A0EAC" w:rsidRPr="005A0EAC" w:rsidRDefault="005A0EAC" w:rsidP="00525040">
      <w:pPr>
        <w:spacing w:after="60"/>
        <w:ind w:left="794"/>
        <w:jc w:val="both"/>
        <w:rPr>
          <w:rFonts w:ascii="CG Times" w:hAnsi="CG Times"/>
          <w:b/>
          <w:sz w:val="26"/>
          <w:szCs w:val="26"/>
        </w:rPr>
      </w:pPr>
      <w:r w:rsidRPr="005A0EAC">
        <w:rPr>
          <w:rFonts w:ascii="CG Times" w:hAnsi="CG Times"/>
          <w:sz w:val="26"/>
          <w:szCs w:val="26"/>
        </w:rPr>
        <w:lastRenderedPageBreak/>
        <w:t>L</w:t>
      </w:r>
      <w:r w:rsidRPr="005A0EAC">
        <w:rPr>
          <w:rFonts w:ascii="CG Times" w:hAnsi="CG Times"/>
          <w:sz w:val="26"/>
          <w:szCs w:val="26"/>
          <w:lang w:val="es-ES"/>
        </w:rPr>
        <w:t xml:space="preserve">o cual debe ponerse en relación con que desde el </w:t>
      </w:r>
      <w:hyperlink r:id="rId201" w:history="1">
        <w:r w:rsidRPr="005A0EAC">
          <w:rPr>
            <w:rStyle w:val="Hipervnculo"/>
            <w:rFonts w:ascii="CG Times" w:hAnsi="CG Times"/>
            <w:sz w:val="26"/>
            <w:szCs w:val="26"/>
            <w:lang w:val="es-ES"/>
          </w:rPr>
          <w:t>Decreto-ley estat</w:t>
        </w:r>
        <w:r>
          <w:rPr>
            <w:rStyle w:val="Hipervnculo"/>
            <w:rFonts w:ascii="CG Times" w:hAnsi="CG Times"/>
            <w:sz w:val="26"/>
            <w:szCs w:val="26"/>
            <w:lang w:val="es-ES"/>
          </w:rPr>
          <w:t>a</w:t>
        </w:r>
        <w:r w:rsidRPr="005A0EAC">
          <w:rPr>
            <w:rStyle w:val="Hipervnculo"/>
            <w:rFonts w:ascii="CG Times" w:hAnsi="CG Times"/>
            <w:sz w:val="26"/>
            <w:szCs w:val="26"/>
            <w:lang w:val="es-ES"/>
          </w:rPr>
          <w:t>l 17/2018</w:t>
        </w:r>
      </w:hyperlink>
      <w:r w:rsidRPr="005A0EAC">
        <w:rPr>
          <w:rFonts w:ascii="CG Times" w:hAnsi="CG Times"/>
          <w:sz w:val="26"/>
          <w:szCs w:val="26"/>
          <w:lang w:val="es-ES"/>
        </w:rPr>
        <w:t xml:space="preserve"> (en vigor desde el 10 de noviembre de 2018) el sujeto pasivo pasa a ser el prestamista.</w:t>
      </w:r>
    </w:p>
    <w:p w14:paraId="6F53104C" w14:textId="77777777" w:rsidR="00EE1145" w:rsidRDefault="00EE1145" w:rsidP="00C854F8">
      <w:pPr>
        <w:numPr>
          <w:ilvl w:val="1"/>
          <w:numId w:val="15"/>
        </w:numPr>
        <w:tabs>
          <w:tab w:val="clear" w:pos="792"/>
          <w:tab w:val="num" w:pos="432"/>
          <w:tab w:val="num" w:pos="993"/>
          <w:tab w:val="num" w:pos="1440"/>
          <w:tab w:val="num" w:pos="2520"/>
        </w:tabs>
        <w:spacing w:line="280" w:lineRule="atLeast"/>
        <w:jc w:val="both"/>
        <w:rPr>
          <w:b/>
          <w:spacing w:val="6"/>
          <w:sz w:val="22"/>
          <w:szCs w:val="22"/>
        </w:rPr>
      </w:pPr>
      <w:bookmarkStart w:id="127" w:name="B5"/>
      <w:bookmarkStart w:id="128" w:name="Tipo25"/>
      <w:bookmarkStart w:id="129" w:name="D26"/>
      <w:bookmarkStart w:id="130" w:name="B12"/>
      <w:bookmarkEnd w:id="127"/>
      <w:bookmarkEnd w:id="128"/>
      <w:bookmarkEnd w:id="129"/>
      <w:bookmarkEnd w:id="130"/>
      <w:r>
        <w:rPr>
          <w:rFonts w:ascii="Times New Roman" w:hAnsi="Times New Roman"/>
          <w:b/>
          <w:spacing w:val="6"/>
          <w:sz w:val="26"/>
          <w:szCs w:val="26"/>
          <w:lang w:val="es-ES"/>
        </w:rPr>
        <w:t>Otros beneficios fiscales</w:t>
      </w:r>
    </w:p>
    <w:p w14:paraId="60A521AD" w14:textId="28EBBA81" w:rsidR="00EE1145" w:rsidRDefault="00EE1145" w:rsidP="00C854F8">
      <w:pPr>
        <w:numPr>
          <w:ilvl w:val="0"/>
          <w:numId w:val="10"/>
        </w:numPr>
        <w:ind w:left="1512"/>
        <w:jc w:val="both"/>
        <w:rPr>
          <w:rFonts w:ascii="CG Times" w:hAnsi="CG Times"/>
          <w:sz w:val="26"/>
          <w:szCs w:val="26"/>
        </w:rPr>
      </w:pPr>
      <w:r>
        <w:rPr>
          <w:rFonts w:ascii="CG Times" w:hAnsi="CG Times"/>
          <w:sz w:val="26"/>
          <w:szCs w:val="26"/>
        </w:rPr>
        <w:t>Transmisión de viviendas destinadas al arrendamiento para vivienda habitual (</w:t>
      </w:r>
      <w:hyperlink r:id="rId202" w:anchor="a31" w:history="1">
        <w:r>
          <w:rPr>
            <w:rStyle w:val="Hipervnculo"/>
            <w:rFonts w:ascii="CG Times" w:hAnsi="CG Times"/>
            <w:sz w:val="26"/>
            <w:szCs w:val="26"/>
          </w:rPr>
          <w:t>arts. 31 y 38</w:t>
        </w:r>
      </w:hyperlink>
      <w:r>
        <w:rPr>
          <w:rFonts w:ascii="CG Times" w:hAnsi="CG Times"/>
          <w:sz w:val="26"/>
          <w:szCs w:val="26"/>
        </w:rPr>
        <w:t>): tipo del 3% en TPO</w:t>
      </w:r>
      <w:r w:rsidR="00234EE2">
        <w:rPr>
          <w:rFonts w:ascii="CG Times" w:hAnsi="CG Times"/>
          <w:sz w:val="26"/>
          <w:szCs w:val="26"/>
        </w:rPr>
        <w:t xml:space="preserve"> (derogado desde el 01/01/2026)</w:t>
      </w:r>
      <w:r>
        <w:rPr>
          <w:rFonts w:ascii="CG Times" w:hAnsi="CG Times"/>
          <w:sz w:val="26"/>
          <w:szCs w:val="26"/>
        </w:rPr>
        <w:t xml:space="preserve"> y del 0,3% en AJD</w:t>
      </w:r>
      <w:r w:rsidR="00234EE2">
        <w:rPr>
          <w:rFonts w:ascii="CG Times" w:hAnsi="CG Times"/>
          <w:sz w:val="26"/>
          <w:szCs w:val="26"/>
        </w:rPr>
        <w:t xml:space="preserve"> (se mantiene)</w:t>
      </w:r>
      <w:r>
        <w:rPr>
          <w:rFonts w:ascii="CG Times" w:hAnsi="CG Times"/>
          <w:sz w:val="26"/>
          <w:szCs w:val="26"/>
        </w:rPr>
        <w:t>.</w:t>
      </w:r>
    </w:p>
    <w:p w14:paraId="3A09E39B" w14:textId="77777777" w:rsidR="00EE1145" w:rsidRDefault="00EE1145" w:rsidP="00C854F8">
      <w:pPr>
        <w:numPr>
          <w:ilvl w:val="0"/>
          <w:numId w:val="10"/>
        </w:numPr>
        <w:ind w:left="1512"/>
        <w:jc w:val="both"/>
        <w:rPr>
          <w:rFonts w:ascii="CG Times" w:hAnsi="CG Times"/>
          <w:sz w:val="26"/>
          <w:szCs w:val="26"/>
        </w:rPr>
      </w:pPr>
      <w:r>
        <w:rPr>
          <w:rFonts w:ascii="CG Times" w:hAnsi="CG Times"/>
          <w:sz w:val="26"/>
          <w:szCs w:val="26"/>
        </w:rPr>
        <w:t>Declaración de obra o división horizontal de edificios destinados al arrendamiento para vivienda habitual (</w:t>
      </w:r>
      <w:hyperlink r:id="rId203" w:anchor="a37" w:history="1">
        <w:r>
          <w:rPr>
            <w:rStyle w:val="Hipervnculo"/>
            <w:rFonts w:ascii="CG Times" w:hAnsi="CG Times"/>
            <w:sz w:val="26"/>
            <w:szCs w:val="26"/>
          </w:rPr>
          <w:t>art. 37</w:t>
        </w:r>
      </w:hyperlink>
      <w:r>
        <w:rPr>
          <w:rFonts w:ascii="CG Times" w:hAnsi="CG Times"/>
          <w:sz w:val="26"/>
          <w:szCs w:val="26"/>
        </w:rPr>
        <w:t>): tipo del 0,3% en AJD.</w:t>
      </w:r>
    </w:p>
    <w:p w14:paraId="286D9185" w14:textId="77777777" w:rsidR="00EE1145" w:rsidRDefault="00EE1145" w:rsidP="00C854F8">
      <w:pPr>
        <w:numPr>
          <w:ilvl w:val="0"/>
          <w:numId w:val="10"/>
        </w:numPr>
        <w:ind w:left="1512"/>
        <w:jc w:val="both"/>
        <w:rPr>
          <w:rFonts w:ascii="CG Times" w:hAnsi="CG Times"/>
          <w:sz w:val="26"/>
          <w:szCs w:val="26"/>
        </w:rPr>
      </w:pPr>
      <w:r>
        <w:rPr>
          <w:rFonts w:ascii="CG Times" w:hAnsi="CG Times"/>
          <w:sz w:val="26"/>
          <w:szCs w:val="26"/>
        </w:rPr>
        <w:t>Constitución y cancelación de garantías cuando el sujeto pasivo sea una Sociedad de Garantía Recíproca con domicilio social en el Principado de Asturias (</w:t>
      </w:r>
      <w:hyperlink r:id="rId204" w:anchor="a39" w:history="1">
        <w:r>
          <w:rPr>
            <w:rStyle w:val="Hipervnculo"/>
            <w:rFonts w:ascii="CG Times" w:hAnsi="CG Times"/>
            <w:sz w:val="26"/>
            <w:szCs w:val="26"/>
          </w:rPr>
          <w:t>art. 39</w:t>
        </w:r>
      </w:hyperlink>
      <w:r>
        <w:rPr>
          <w:rFonts w:ascii="CG Times" w:hAnsi="CG Times"/>
          <w:sz w:val="26"/>
          <w:szCs w:val="26"/>
        </w:rPr>
        <w:t>): tipo del 0,10% en AJD.</w:t>
      </w:r>
    </w:p>
    <w:p w14:paraId="1AD17F05" w14:textId="6B0FA399" w:rsidR="00734D6E" w:rsidRDefault="00734D6E" w:rsidP="00734D6E">
      <w:pPr>
        <w:ind w:left="1512"/>
        <w:jc w:val="both"/>
        <w:rPr>
          <w:rFonts w:ascii="CG Times" w:hAnsi="CG Times"/>
          <w:sz w:val="26"/>
          <w:szCs w:val="26"/>
        </w:rPr>
      </w:pPr>
      <w:r>
        <w:rPr>
          <w:rFonts w:ascii="CG Times" w:hAnsi="CG Times"/>
          <w:sz w:val="26"/>
          <w:szCs w:val="26"/>
        </w:rPr>
        <w:t xml:space="preserve">Debe tenerse en cuenta que el requisito del domicilio asturiano podría ser inconstitucional, pues así lo ha entendido la </w:t>
      </w:r>
      <w:hyperlink r:id="rId205" w:history="1">
        <w:r w:rsidRPr="002D2B0B">
          <w:rPr>
            <w:rStyle w:val="Hipervnculo"/>
            <w:rFonts w:ascii="CG Times" w:hAnsi="CG Times"/>
            <w:sz w:val="26"/>
            <w:szCs w:val="26"/>
          </w:rPr>
          <w:t>STC 20/2026 de 25 de febrero de 2026</w:t>
        </w:r>
      </w:hyperlink>
      <w:r>
        <w:rPr>
          <w:rFonts w:ascii="CG Times" w:hAnsi="CG Times"/>
          <w:sz w:val="26"/>
          <w:szCs w:val="26"/>
        </w:rPr>
        <w:t xml:space="preserve"> para un igual precepto gallego.</w:t>
      </w:r>
    </w:p>
    <w:p w14:paraId="0E74577D" w14:textId="77777777" w:rsidR="001B189A" w:rsidRDefault="001B189A" w:rsidP="00C854F8">
      <w:pPr>
        <w:numPr>
          <w:ilvl w:val="0"/>
          <w:numId w:val="10"/>
        </w:numPr>
        <w:ind w:left="1512"/>
        <w:jc w:val="both"/>
        <w:rPr>
          <w:rFonts w:ascii="CG Times" w:hAnsi="CG Times"/>
          <w:sz w:val="26"/>
          <w:szCs w:val="26"/>
        </w:rPr>
      </w:pPr>
      <w:r>
        <w:rPr>
          <w:rFonts w:ascii="CG Times" w:hAnsi="CG Times"/>
          <w:sz w:val="26"/>
          <w:szCs w:val="26"/>
        </w:rPr>
        <w:t>Empresas públicas del Principado de Asturias en el desarrollo de políticas públicas acreditado mediante certificado de la Consejería: deducción del 100% en TPO (</w:t>
      </w:r>
      <w:hyperlink r:id="rId206" w:history="1">
        <w:r w:rsidRPr="00022C1F">
          <w:rPr>
            <w:rStyle w:val="Hipervnculo"/>
            <w:rFonts w:ascii="CG Times" w:hAnsi="CG Times"/>
            <w:sz w:val="26"/>
            <w:szCs w:val="26"/>
          </w:rPr>
          <w:t xml:space="preserve">art. 32 </w:t>
        </w:r>
        <w:proofErr w:type="spellStart"/>
        <w:r w:rsidRPr="00022C1F">
          <w:rPr>
            <w:rStyle w:val="Hipervnculo"/>
            <w:rFonts w:ascii="CG Times" w:hAnsi="CG Times"/>
            <w:sz w:val="26"/>
            <w:szCs w:val="26"/>
          </w:rPr>
          <w:t>septies</w:t>
        </w:r>
        <w:proofErr w:type="spellEnd"/>
      </w:hyperlink>
      <w:r>
        <w:rPr>
          <w:rFonts w:ascii="CG Times" w:hAnsi="CG Times"/>
          <w:sz w:val="26"/>
          <w:szCs w:val="26"/>
        </w:rPr>
        <w:t>, introducido por la Ley 8/2024) y del 100% en AJD (</w:t>
      </w:r>
      <w:hyperlink r:id="rId207" w:history="1">
        <w:r w:rsidRPr="00022C1F">
          <w:rPr>
            <w:rStyle w:val="Hipervnculo"/>
            <w:rFonts w:ascii="CG Times" w:hAnsi="CG Times"/>
            <w:sz w:val="26"/>
            <w:szCs w:val="26"/>
          </w:rPr>
          <w:t>art. 39 ter</w:t>
        </w:r>
      </w:hyperlink>
      <w:r>
        <w:rPr>
          <w:rFonts w:ascii="CG Times" w:hAnsi="CG Times"/>
          <w:sz w:val="26"/>
          <w:szCs w:val="26"/>
        </w:rPr>
        <w:t>, introducido por la Ley 8/2024)</w:t>
      </w:r>
      <w:r w:rsidR="00BE5146">
        <w:rPr>
          <w:rFonts w:ascii="CG Times" w:hAnsi="CG Times"/>
          <w:sz w:val="26"/>
          <w:szCs w:val="26"/>
        </w:rPr>
        <w:t>.</w:t>
      </w:r>
    </w:p>
    <w:p w14:paraId="204D046B" w14:textId="77777777" w:rsidR="00EE1145" w:rsidRDefault="00EE1145">
      <w:pPr>
        <w:spacing w:line="280" w:lineRule="atLeast"/>
        <w:ind w:left="1440"/>
        <w:jc w:val="both"/>
        <w:rPr>
          <w:rFonts w:ascii="CG Times" w:hAnsi="CG Times"/>
          <w:sz w:val="26"/>
          <w:szCs w:val="26"/>
        </w:rPr>
      </w:pPr>
      <w:r>
        <w:rPr>
          <w:rFonts w:ascii="CG Times" w:hAnsi="CG Times"/>
          <w:sz w:val="26"/>
          <w:szCs w:val="26"/>
        </w:rPr>
        <w:br w:type="page"/>
      </w:r>
    </w:p>
    <w:p w14:paraId="45AF4494" w14:textId="77777777" w:rsidR="00EE1145" w:rsidRPr="0049149F" w:rsidRDefault="00EE1145" w:rsidP="00C854F8">
      <w:pPr>
        <w:numPr>
          <w:ilvl w:val="0"/>
          <w:numId w:val="15"/>
        </w:numPr>
        <w:tabs>
          <w:tab w:val="clear" w:pos="360"/>
          <w:tab w:val="num" w:pos="284"/>
          <w:tab w:val="num" w:pos="426"/>
          <w:tab w:val="num" w:pos="2520"/>
        </w:tabs>
        <w:spacing w:after="60"/>
        <w:ind w:left="357" w:hanging="357"/>
        <w:jc w:val="both"/>
        <w:rPr>
          <w:b/>
          <w:color w:val="000000"/>
          <w:spacing w:val="6"/>
          <w:sz w:val="22"/>
          <w:szCs w:val="22"/>
        </w:rPr>
      </w:pPr>
      <w:bookmarkStart w:id="131" w:name="C"/>
      <w:bookmarkEnd w:id="131"/>
      <w:r>
        <w:rPr>
          <w:b/>
          <w:color w:val="000000"/>
          <w:spacing w:val="6"/>
          <w:sz w:val="26"/>
          <w:szCs w:val="26"/>
        </w:rPr>
        <w:lastRenderedPageBreak/>
        <w:t>IMPUESTO SOBRE DONACIONES</w:t>
      </w:r>
    </w:p>
    <w:p w14:paraId="6FE6B515" w14:textId="77777777" w:rsidR="0049149F" w:rsidRDefault="0049149F" w:rsidP="00C854F8">
      <w:pPr>
        <w:numPr>
          <w:ilvl w:val="1"/>
          <w:numId w:val="15"/>
        </w:numPr>
        <w:tabs>
          <w:tab w:val="num" w:pos="2520"/>
        </w:tabs>
        <w:jc w:val="both"/>
        <w:rPr>
          <w:b/>
          <w:color w:val="000000"/>
          <w:spacing w:val="6"/>
          <w:sz w:val="22"/>
          <w:szCs w:val="22"/>
        </w:rPr>
      </w:pPr>
      <w:bookmarkStart w:id="132" w:name="comunes"/>
      <w:bookmarkEnd w:id="132"/>
      <w:r>
        <w:rPr>
          <w:b/>
          <w:color w:val="000000"/>
          <w:spacing w:val="6"/>
          <w:sz w:val="26"/>
          <w:szCs w:val="26"/>
        </w:rPr>
        <w:t xml:space="preserve">Consideraciones </w:t>
      </w:r>
      <w:r w:rsidR="00436177">
        <w:rPr>
          <w:b/>
          <w:color w:val="000000"/>
          <w:spacing w:val="6"/>
          <w:sz w:val="26"/>
          <w:szCs w:val="26"/>
        </w:rPr>
        <w:t>generales</w:t>
      </w:r>
    </w:p>
    <w:p w14:paraId="00BDE63C" w14:textId="77777777" w:rsidR="00B851BD" w:rsidRPr="00B851BD" w:rsidRDefault="00B851BD" w:rsidP="00B851BD">
      <w:pPr>
        <w:ind w:left="792"/>
        <w:jc w:val="both"/>
        <w:rPr>
          <w:spacing w:val="6"/>
          <w:sz w:val="26"/>
          <w:szCs w:val="26"/>
          <w:lang w:val="es-ES"/>
        </w:rPr>
      </w:pPr>
      <w:r w:rsidRPr="00B851BD">
        <w:rPr>
          <w:spacing w:val="6"/>
          <w:sz w:val="26"/>
          <w:szCs w:val="26"/>
          <w:lang w:val="es-ES"/>
        </w:rPr>
        <w:t>Debe tenerse en cuenta:</w:t>
      </w:r>
    </w:p>
    <w:p w14:paraId="10364C2A" w14:textId="77777777" w:rsidR="00D360C8" w:rsidRDefault="008801CE" w:rsidP="00C854F8">
      <w:pPr>
        <w:numPr>
          <w:ilvl w:val="0"/>
          <w:numId w:val="36"/>
        </w:numPr>
        <w:jc w:val="both"/>
        <w:rPr>
          <w:iCs/>
          <w:spacing w:val="6"/>
          <w:sz w:val="26"/>
          <w:szCs w:val="26"/>
        </w:rPr>
      </w:pPr>
      <w:r w:rsidRPr="00DE0E98">
        <w:rPr>
          <w:spacing w:val="6"/>
          <w:sz w:val="26"/>
          <w:szCs w:val="26"/>
        </w:rPr>
        <w:t xml:space="preserve">En las </w:t>
      </w:r>
      <w:bookmarkStart w:id="133" w:name="transfronterizas"/>
      <w:bookmarkEnd w:id="133"/>
      <w:r w:rsidRPr="00B869A3">
        <w:rPr>
          <w:b/>
          <w:spacing w:val="6"/>
          <w:sz w:val="26"/>
          <w:szCs w:val="26"/>
        </w:rPr>
        <w:t>donaciones transfronterizas</w:t>
      </w:r>
      <w:r w:rsidRPr="00DE0E98">
        <w:rPr>
          <w:spacing w:val="6"/>
          <w:sz w:val="26"/>
          <w:szCs w:val="26"/>
        </w:rPr>
        <w:t>, l</w:t>
      </w:r>
      <w:r w:rsidR="000D1000" w:rsidRPr="00DE0E98">
        <w:rPr>
          <w:spacing w:val="6"/>
          <w:sz w:val="26"/>
          <w:szCs w:val="26"/>
        </w:rPr>
        <w:t xml:space="preserve">a sujeción, competencia y legislación fiscal aplicable </w:t>
      </w:r>
      <w:r w:rsidR="002B0574" w:rsidRPr="00DE0E98">
        <w:rPr>
          <w:spacing w:val="6"/>
          <w:sz w:val="26"/>
          <w:szCs w:val="26"/>
        </w:rPr>
        <w:t xml:space="preserve">se determina </w:t>
      </w:r>
      <w:r w:rsidR="000D1000" w:rsidRPr="00DE0E98">
        <w:rPr>
          <w:spacing w:val="6"/>
          <w:sz w:val="26"/>
          <w:szCs w:val="26"/>
        </w:rPr>
        <w:t xml:space="preserve">conforme a la </w:t>
      </w:r>
      <w:hyperlink r:id="rId208" w:anchor="da2" w:history="1">
        <w:r w:rsidR="000D1000" w:rsidRPr="00DE0E98">
          <w:rPr>
            <w:rStyle w:val="Hipervnculo"/>
            <w:iCs/>
            <w:spacing w:val="6"/>
            <w:sz w:val="26"/>
            <w:szCs w:val="26"/>
          </w:rPr>
          <w:t>disposición adicional segunda de la Ley 29/1987 del Impuesto de Sucesiones y Donaciones</w:t>
        </w:r>
      </w:hyperlink>
      <w:r w:rsidR="002B0574" w:rsidRPr="00DE0E98">
        <w:rPr>
          <w:iCs/>
          <w:spacing w:val="6"/>
          <w:sz w:val="26"/>
          <w:szCs w:val="26"/>
        </w:rPr>
        <w:t>.</w:t>
      </w:r>
      <w:r w:rsidR="007E79B3" w:rsidRPr="00DE0E98">
        <w:rPr>
          <w:iCs/>
          <w:spacing w:val="6"/>
          <w:sz w:val="26"/>
          <w:szCs w:val="26"/>
        </w:rPr>
        <w:t xml:space="preserve"> </w:t>
      </w:r>
    </w:p>
    <w:p w14:paraId="0E149BDD" w14:textId="77777777" w:rsidR="00DE0E98" w:rsidRDefault="007E79B3" w:rsidP="00D360C8">
      <w:pPr>
        <w:ind w:left="1152"/>
        <w:jc w:val="both"/>
        <w:rPr>
          <w:iCs/>
          <w:spacing w:val="6"/>
          <w:sz w:val="26"/>
          <w:szCs w:val="26"/>
        </w:rPr>
      </w:pPr>
      <w:r w:rsidRPr="00DE0E98">
        <w:rPr>
          <w:iCs/>
          <w:spacing w:val="6"/>
          <w:sz w:val="26"/>
          <w:szCs w:val="26"/>
        </w:rPr>
        <w:t>En general, la competencia estatal</w:t>
      </w:r>
      <w:r w:rsidR="00D360C8">
        <w:rPr>
          <w:iCs/>
          <w:spacing w:val="6"/>
          <w:sz w:val="26"/>
          <w:szCs w:val="26"/>
        </w:rPr>
        <w:t xml:space="preserve"> española</w:t>
      </w:r>
      <w:r w:rsidRPr="00DE0E98">
        <w:rPr>
          <w:iCs/>
          <w:spacing w:val="6"/>
          <w:sz w:val="26"/>
          <w:szCs w:val="26"/>
        </w:rPr>
        <w:t xml:space="preserve"> viene determinada por la no residencia fiscal española del contribuyente</w:t>
      </w:r>
      <w:r w:rsidR="00653054" w:rsidRPr="00DE0E98">
        <w:rPr>
          <w:iCs/>
          <w:spacing w:val="6"/>
          <w:sz w:val="26"/>
          <w:szCs w:val="26"/>
        </w:rPr>
        <w:t xml:space="preserve"> o por la radicación o situación en el extranjero de los bienes donados</w:t>
      </w:r>
      <w:r w:rsidR="00D360C8">
        <w:rPr>
          <w:iCs/>
          <w:spacing w:val="6"/>
          <w:sz w:val="26"/>
          <w:szCs w:val="26"/>
        </w:rPr>
        <w:t xml:space="preserve"> (si el contribuyente es no residente y los bienes radican o se sit</w:t>
      </w:r>
      <w:r w:rsidR="00737B6A">
        <w:rPr>
          <w:iCs/>
          <w:spacing w:val="6"/>
          <w:sz w:val="26"/>
          <w:szCs w:val="26"/>
        </w:rPr>
        <w:t>ú</w:t>
      </w:r>
      <w:r w:rsidR="00D360C8">
        <w:rPr>
          <w:iCs/>
          <w:spacing w:val="6"/>
          <w:sz w:val="26"/>
          <w:szCs w:val="26"/>
        </w:rPr>
        <w:t>an en el extranjero, la donación no estaría sujeta a la legislación española)</w:t>
      </w:r>
      <w:r w:rsidRPr="00DE0E98">
        <w:rPr>
          <w:iCs/>
          <w:spacing w:val="6"/>
          <w:sz w:val="26"/>
          <w:szCs w:val="26"/>
        </w:rPr>
        <w:t>, pero con derecho a aplicar</w:t>
      </w:r>
      <w:r w:rsidR="00653054" w:rsidRPr="00DE0E98">
        <w:rPr>
          <w:iCs/>
          <w:spacing w:val="6"/>
          <w:sz w:val="26"/>
          <w:szCs w:val="26"/>
        </w:rPr>
        <w:t xml:space="preserve"> </w:t>
      </w:r>
      <w:r w:rsidRPr="00DE0E98">
        <w:rPr>
          <w:iCs/>
          <w:spacing w:val="6"/>
          <w:sz w:val="26"/>
          <w:szCs w:val="26"/>
        </w:rPr>
        <w:t>los</w:t>
      </w:r>
      <w:r w:rsidR="00DE0E98">
        <w:rPr>
          <w:iCs/>
          <w:spacing w:val="6"/>
          <w:sz w:val="26"/>
          <w:szCs w:val="26"/>
        </w:rPr>
        <w:t xml:space="preserve"> siguientes</w:t>
      </w:r>
      <w:r w:rsidRPr="00DE0E98">
        <w:rPr>
          <w:iCs/>
          <w:spacing w:val="6"/>
          <w:sz w:val="26"/>
          <w:szCs w:val="26"/>
        </w:rPr>
        <w:t xml:space="preserve"> beneficios fiscales autonómicos</w:t>
      </w:r>
      <w:r w:rsidR="00DE0E98">
        <w:rPr>
          <w:iCs/>
          <w:spacing w:val="6"/>
          <w:sz w:val="26"/>
          <w:szCs w:val="26"/>
        </w:rPr>
        <w:t>:</w:t>
      </w:r>
    </w:p>
    <w:p w14:paraId="47AC1988" w14:textId="77777777" w:rsidR="00DE0E98" w:rsidRDefault="00DE0E98" w:rsidP="00DE0E98">
      <w:pPr>
        <w:ind w:left="1152"/>
        <w:jc w:val="both"/>
        <w:rPr>
          <w:iCs/>
          <w:spacing w:val="6"/>
          <w:sz w:val="26"/>
          <w:szCs w:val="26"/>
        </w:rPr>
      </w:pPr>
      <w:r>
        <w:rPr>
          <w:iCs/>
          <w:spacing w:val="6"/>
          <w:sz w:val="26"/>
          <w:szCs w:val="26"/>
        </w:rPr>
        <w:t xml:space="preserve">- Contribuyentes residentes: </w:t>
      </w:r>
      <w:r w:rsidRPr="00DE0E98">
        <w:rPr>
          <w:iCs/>
          <w:spacing w:val="6"/>
          <w:sz w:val="26"/>
          <w:szCs w:val="26"/>
        </w:rPr>
        <w:t>residencia autonómica del contribuyente para inmuebles radicantes o bienes muebles situados fuera de España</w:t>
      </w:r>
      <w:r>
        <w:rPr>
          <w:iCs/>
          <w:spacing w:val="6"/>
          <w:sz w:val="26"/>
          <w:szCs w:val="26"/>
        </w:rPr>
        <w:t>.</w:t>
      </w:r>
    </w:p>
    <w:p w14:paraId="305C46FE" w14:textId="77777777" w:rsidR="00DE0E98" w:rsidRDefault="00DE0E98" w:rsidP="00DE0E98">
      <w:pPr>
        <w:ind w:left="1152"/>
        <w:jc w:val="both"/>
        <w:rPr>
          <w:iCs/>
          <w:spacing w:val="6"/>
          <w:sz w:val="26"/>
          <w:szCs w:val="26"/>
        </w:rPr>
      </w:pPr>
      <w:r>
        <w:rPr>
          <w:iCs/>
          <w:spacing w:val="6"/>
          <w:sz w:val="26"/>
          <w:szCs w:val="26"/>
        </w:rPr>
        <w:t xml:space="preserve">- Contribuyentes no residentes: lugar de radicación de los inmuebles o </w:t>
      </w:r>
      <w:r w:rsidRPr="00DE0E98">
        <w:rPr>
          <w:iCs/>
          <w:spacing w:val="6"/>
          <w:sz w:val="26"/>
          <w:szCs w:val="26"/>
        </w:rPr>
        <w:t>de la situación mayoritaria durante los últimos 5 años de los bienes muebles</w:t>
      </w:r>
      <w:r>
        <w:rPr>
          <w:iCs/>
          <w:spacing w:val="6"/>
          <w:sz w:val="26"/>
          <w:szCs w:val="26"/>
        </w:rPr>
        <w:t>.</w:t>
      </w:r>
    </w:p>
    <w:p w14:paraId="5F1C527E" w14:textId="77777777" w:rsidR="000D1000" w:rsidRDefault="00144214" w:rsidP="00C854F8">
      <w:pPr>
        <w:numPr>
          <w:ilvl w:val="0"/>
          <w:numId w:val="36"/>
        </w:numPr>
        <w:jc w:val="both"/>
        <w:rPr>
          <w:iCs/>
          <w:spacing w:val="6"/>
          <w:sz w:val="26"/>
          <w:szCs w:val="26"/>
        </w:rPr>
      </w:pPr>
      <w:r>
        <w:rPr>
          <w:iCs/>
          <w:spacing w:val="6"/>
          <w:sz w:val="26"/>
          <w:szCs w:val="26"/>
        </w:rPr>
        <w:t>E</w:t>
      </w:r>
      <w:r w:rsidR="000D1000" w:rsidRPr="000D1000">
        <w:rPr>
          <w:iCs/>
          <w:spacing w:val="6"/>
          <w:sz w:val="26"/>
          <w:szCs w:val="26"/>
        </w:rPr>
        <w:t xml:space="preserve">n los </w:t>
      </w:r>
      <w:r w:rsidR="000D1000" w:rsidRPr="00B869A3">
        <w:rPr>
          <w:b/>
          <w:iCs/>
          <w:spacing w:val="6"/>
          <w:sz w:val="26"/>
          <w:szCs w:val="26"/>
        </w:rPr>
        <w:t xml:space="preserve">conflictos meramente </w:t>
      </w:r>
      <w:bookmarkStart w:id="134" w:name="interregionales"/>
      <w:bookmarkEnd w:id="134"/>
      <w:r w:rsidR="000D1000" w:rsidRPr="00B869A3">
        <w:rPr>
          <w:b/>
          <w:iCs/>
          <w:spacing w:val="6"/>
          <w:sz w:val="26"/>
          <w:szCs w:val="26"/>
        </w:rPr>
        <w:t>interregionales</w:t>
      </w:r>
      <w:r w:rsidR="000D1000" w:rsidRPr="000D1000">
        <w:rPr>
          <w:iCs/>
          <w:spacing w:val="6"/>
          <w:sz w:val="26"/>
          <w:szCs w:val="26"/>
        </w:rPr>
        <w:t xml:space="preserve"> se atiende a la residencia fiscal del donatario determinada por la permanencia un mayor número de días dentro de los 5 años inmediatos anteriores (</w:t>
      </w:r>
      <w:hyperlink r:id="rId209" w:anchor="a28" w:history="1">
        <w:r w:rsidR="000D1000" w:rsidRPr="000D1000">
          <w:rPr>
            <w:rStyle w:val="Hipervnculo"/>
            <w:iCs/>
            <w:spacing w:val="6"/>
            <w:sz w:val="26"/>
            <w:szCs w:val="26"/>
          </w:rPr>
          <w:t>art</w:t>
        </w:r>
        <w:r w:rsidR="00220540">
          <w:rPr>
            <w:rStyle w:val="Hipervnculo"/>
            <w:iCs/>
            <w:spacing w:val="6"/>
            <w:sz w:val="26"/>
            <w:szCs w:val="26"/>
          </w:rPr>
          <w:t>.</w:t>
        </w:r>
        <w:r w:rsidR="000D1000" w:rsidRPr="000D1000">
          <w:rPr>
            <w:rStyle w:val="Hipervnculo"/>
            <w:iCs/>
            <w:spacing w:val="6"/>
            <w:sz w:val="26"/>
            <w:szCs w:val="26"/>
          </w:rPr>
          <w:t xml:space="preserve"> 28-1</w:t>
        </w:r>
      </w:hyperlink>
      <w:r w:rsidR="000D1000" w:rsidRPr="000D1000">
        <w:rPr>
          <w:iCs/>
          <w:spacing w:val="6"/>
          <w:sz w:val="26"/>
          <w:szCs w:val="26"/>
        </w:rPr>
        <w:t xml:space="preserve"> y </w:t>
      </w:r>
      <w:hyperlink r:id="rId210" w:anchor="a32" w:history="1">
        <w:r w:rsidR="000D1000" w:rsidRPr="000D1000">
          <w:rPr>
            <w:rStyle w:val="Hipervnculo"/>
            <w:iCs/>
            <w:spacing w:val="6"/>
            <w:sz w:val="26"/>
            <w:szCs w:val="26"/>
          </w:rPr>
          <w:t>art</w:t>
        </w:r>
        <w:r w:rsidR="00220540">
          <w:rPr>
            <w:rStyle w:val="Hipervnculo"/>
            <w:iCs/>
            <w:spacing w:val="6"/>
            <w:sz w:val="26"/>
            <w:szCs w:val="26"/>
          </w:rPr>
          <w:t>.</w:t>
        </w:r>
        <w:r w:rsidR="000D1000" w:rsidRPr="000D1000">
          <w:rPr>
            <w:rStyle w:val="Hipervnculo"/>
            <w:iCs/>
            <w:spacing w:val="6"/>
            <w:sz w:val="26"/>
            <w:szCs w:val="26"/>
          </w:rPr>
          <w:t xml:space="preserve"> 32-2-c</w:t>
        </w:r>
      </w:hyperlink>
      <w:r w:rsidR="000D1000" w:rsidRPr="000D1000">
        <w:rPr>
          <w:iCs/>
          <w:spacing w:val="6"/>
          <w:sz w:val="26"/>
          <w:szCs w:val="26"/>
        </w:rPr>
        <w:t xml:space="preserve"> de</w:t>
      </w:r>
      <w:r w:rsidR="00220540">
        <w:rPr>
          <w:iCs/>
          <w:spacing w:val="6"/>
          <w:sz w:val="26"/>
          <w:szCs w:val="26"/>
        </w:rPr>
        <w:t xml:space="preserve"> la</w:t>
      </w:r>
      <w:r w:rsidR="000D1000" w:rsidRPr="000D1000">
        <w:rPr>
          <w:iCs/>
          <w:spacing w:val="6"/>
          <w:sz w:val="26"/>
          <w:szCs w:val="26"/>
        </w:rPr>
        <w:t xml:space="preserve"> </w:t>
      </w:r>
      <w:hyperlink r:id="rId211" w:history="1">
        <w:r w:rsidR="000D1000" w:rsidRPr="000D1000">
          <w:rPr>
            <w:rStyle w:val="Hipervnculo"/>
            <w:iCs/>
            <w:spacing w:val="6"/>
            <w:sz w:val="26"/>
            <w:szCs w:val="26"/>
          </w:rPr>
          <w:t>Ley 22/2009 reguladora del Sistema de financiación de las Comunidades Autónomas de régimen común y Ciudades con Estatuto de Autonomía</w:t>
        </w:r>
      </w:hyperlink>
      <w:r w:rsidR="000D1000" w:rsidRPr="000D1000">
        <w:rPr>
          <w:iCs/>
          <w:spacing w:val="6"/>
          <w:sz w:val="26"/>
          <w:szCs w:val="26"/>
        </w:rPr>
        <w:t>), salvo que la donación tenga por objeto bienes inmuebles, en cuyo caso se atiende al lugar de radicación (</w:t>
      </w:r>
      <w:hyperlink r:id="rId212" w:anchor="a32" w:history="1">
        <w:r w:rsidR="000D1000" w:rsidRPr="000D1000">
          <w:rPr>
            <w:rStyle w:val="Hipervnculo"/>
            <w:iCs/>
            <w:spacing w:val="6"/>
            <w:sz w:val="26"/>
            <w:szCs w:val="26"/>
          </w:rPr>
          <w:t>artículo 32-2-b</w:t>
        </w:r>
      </w:hyperlink>
      <w:r w:rsidR="000D1000" w:rsidRPr="000D1000">
        <w:rPr>
          <w:b/>
          <w:iCs/>
          <w:spacing w:val="6"/>
          <w:sz w:val="26"/>
          <w:szCs w:val="26"/>
          <w:vertAlign w:val="superscript"/>
        </w:rPr>
        <w:endnoteReference w:id="22"/>
      </w:r>
      <w:r w:rsidR="000D1000" w:rsidRPr="000D1000">
        <w:rPr>
          <w:iCs/>
          <w:spacing w:val="6"/>
          <w:sz w:val="26"/>
          <w:szCs w:val="26"/>
        </w:rPr>
        <w:t>).</w:t>
      </w:r>
    </w:p>
    <w:p w14:paraId="5C958BE8" w14:textId="77777777" w:rsidR="00144214" w:rsidRDefault="00144214" w:rsidP="00C854F8">
      <w:pPr>
        <w:numPr>
          <w:ilvl w:val="0"/>
          <w:numId w:val="36"/>
        </w:numPr>
        <w:jc w:val="both"/>
        <w:rPr>
          <w:iCs/>
          <w:spacing w:val="6"/>
          <w:sz w:val="26"/>
          <w:szCs w:val="26"/>
        </w:rPr>
      </w:pPr>
      <w:r>
        <w:rPr>
          <w:iCs/>
          <w:spacing w:val="6"/>
          <w:sz w:val="26"/>
          <w:szCs w:val="26"/>
        </w:rPr>
        <w:t xml:space="preserve">En las donaciones de inmuebles incide en la determinación de la base imponible el </w:t>
      </w:r>
      <w:r w:rsidRPr="00B869A3">
        <w:rPr>
          <w:b/>
          <w:iCs/>
          <w:spacing w:val="6"/>
          <w:sz w:val="26"/>
          <w:szCs w:val="26"/>
        </w:rPr>
        <w:t xml:space="preserve">valor de </w:t>
      </w:r>
      <w:bookmarkStart w:id="135" w:name="referencia"/>
      <w:bookmarkEnd w:id="135"/>
      <w:r w:rsidRPr="00B869A3">
        <w:rPr>
          <w:b/>
          <w:iCs/>
          <w:spacing w:val="6"/>
          <w:sz w:val="26"/>
          <w:szCs w:val="26"/>
        </w:rPr>
        <w:t>referencia</w:t>
      </w:r>
      <w:r w:rsidR="00734AC5" w:rsidRPr="00734AC5">
        <w:rPr>
          <w:rStyle w:val="Refdenotaalfinal"/>
          <w:b/>
          <w:iCs/>
          <w:spacing w:val="6"/>
          <w:sz w:val="26"/>
          <w:szCs w:val="26"/>
        </w:rPr>
        <w:endnoteReference w:id="23"/>
      </w:r>
      <w:r>
        <w:rPr>
          <w:iCs/>
          <w:spacing w:val="6"/>
          <w:sz w:val="26"/>
          <w:szCs w:val="26"/>
        </w:rPr>
        <w:t>.</w:t>
      </w:r>
    </w:p>
    <w:p w14:paraId="70251ED7" w14:textId="77777777" w:rsidR="00C9578A" w:rsidRDefault="00C9578A" w:rsidP="00C854F8">
      <w:pPr>
        <w:numPr>
          <w:ilvl w:val="0"/>
          <w:numId w:val="36"/>
        </w:numPr>
        <w:jc w:val="both"/>
        <w:rPr>
          <w:iCs/>
          <w:spacing w:val="6"/>
          <w:sz w:val="26"/>
          <w:szCs w:val="26"/>
        </w:rPr>
      </w:pPr>
      <w:r>
        <w:rPr>
          <w:iCs/>
          <w:spacing w:val="6"/>
          <w:sz w:val="26"/>
          <w:szCs w:val="26"/>
        </w:rPr>
        <w:t xml:space="preserve">En las </w:t>
      </w:r>
      <w:bookmarkStart w:id="136" w:name="gananciales"/>
      <w:bookmarkEnd w:id="136"/>
      <w:r w:rsidRPr="00B869A3">
        <w:rPr>
          <w:b/>
          <w:iCs/>
          <w:spacing w:val="6"/>
          <w:sz w:val="26"/>
          <w:szCs w:val="26"/>
        </w:rPr>
        <w:t>donaciones de bienes gananciales</w:t>
      </w:r>
      <w:r>
        <w:rPr>
          <w:iCs/>
          <w:spacing w:val="6"/>
          <w:sz w:val="26"/>
          <w:szCs w:val="26"/>
        </w:rPr>
        <w:t xml:space="preserve">, se entiende que hay dos donaciones, pues la </w:t>
      </w:r>
      <w:r w:rsidRPr="00C9578A">
        <w:rPr>
          <w:iCs/>
          <w:spacing w:val="6"/>
          <w:sz w:val="26"/>
          <w:szCs w:val="26"/>
        </w:rPr>
        <w:t>Sentencia</w:t>
      </w:r>
      <w:r>
        <w:rPr>
          <w:iCs/>
          <w:spacing w:val="6"/>
          <w:sz w:val="26"/>
          <w:szCs w:val="26"/>
        </w:rPr>
        <w:t xml:space="preserve"> del Tribunal Supremo</w:t>
      </w:r>
      <w:r w:rsidRPr="00C9578A">
        <w:rPr>
          <w:iCs/>
          <w:spacing w:val="6"/>
          <w:sz w:val="26"/>
          <w:szCs w:val="26"/>
        </w:rPr>
        <w:t xml:space="preserve"> de 18 febrero</w:t>
      </w:r>
      <w:r>
        <w:rPr>
          <w:iCs/>
          <w:spacing w:val="6"/>
          <w:sz w:val="26"/>
          <w:szCs w:val="26"/>
        </w:rPr>
        <w:t xml:space="preserve"> de</w:t>
      </w:r>
      <w:r w:rsidRPr="00C9578A">
        <w:rPr>
          <w:iCs/>
          <w:spacing w:val="6"/>
          <w:sz w:val="26"/>
          <w:szCs w:val="26"/>
        </w:rPr>
        <w:t xml:space="preserve"> 2009</w:t>
      </w:r>
      <w:r>
        <w:rPr>
          <w:iCs/>
          <w:spacing w:val="6"/>
          <w:sz w:val="26"/>
          <w:szCs w:val="26"/>
        </w:rPr>
        <w:t xml:space="preserve"> anuló el art. 38 del Reglamento.</w:t>
      </w:r>
      <w:r w:rsidR="0011663F">
        <w:rPr>
          <w:iCs/>
          <w:spacing w:val="6"/>
          <w:sz w:val="26"/>
          <w:szCs w:val="26"/>
        </w:rPr>
        <w:t xml:space="preserve"> Lo cual tiene su importancia práctica cuando la donación está sujeta a un tipo progresivo.</w:t>
      </w:r>
    </w:p>
    <w:p w14:paraId="5B1D1CF5" w14:textId="77777777" w:rsidR="000D1000" w:rsidRPr="00F42061" w:rsidRDefault="00144214" w:rsidP="00C854F8">
      <w:pPr>
        <w:numPr>
          <w:ilvl w:val="0"/>
          <w:numId w:val="36"/>
        </w:numPr>
        <w:jc w:val="both"/>
        <w:rPr>
          <w:iCs/>
          <w:spacing w:val="6"/>
          <w:sz w:val="26"/>
          <w:szCs w:val="26"/>
        </w:rPr>
      </w:pPr>
      <w:r>
        <w:rPr>
          <w:iCs/>
          <w:spacing w:val="6"/>
          <w:sz w:val="26"/>
          <w:szCs w:val="26"/>
          <w:lang w:val="es-ES"/>
        </w:rPr>
        <w:t>E</w:t>
      </w:r>
      <w:r w:rsidR="000D1000" w:rsidRPr="00B851BD">
        <w:rPr>
          <w:iCs/>
          <w:spacing w:val="6"/>
          <w:sz w:val="26"/>
          <w:szCs w:val="26"/>
          <w:lang w:val="es-ES"/>
        </w:rPr>
        <w:t xml:space="preserve">n las </w:t>
      </w:r>
      <w:bookmarkStart w:id="137" w:name="onerosas"/>
      <w:bookmarkEnd w:id="137"/>
      <w:r w:rsidR="000D1000" w:rsidRPr="00B869A3">
        <w:rPr>
          <w:b/>
          <w:iCs/>
          <w:spacing w:val="6"/>
          <w:sz w:val="26"/>
          <w:szCs w:val="26"/>
          <w:lang w:val="es-ES"/>
        </w:rPr>
        <w:t>donaciones onerosas</w:t>
      </w:r>
      <w:r w:rsidR="000D1000" w:rsidRPr="00B851BD">
        <w:rPr>
          <w:iCs/>
          <w:spacing w:val="6"/>
          <w:sz w:val="26"/>
          <w:szCs w:val="26"/>
          <w:lang w:val="es-ES"/>
        </w:rPr>
        <w:t>, muy frecuentemente donación con subrogación del donatario en el préstamo hipotecario que grava el inmueble donado, sólo el exceso del valor donado es propiamente donación</w:t>
      </w:r>
      <w:r w:rsidR="003951C2" w:rsidRPr="00B851BD">
        <w:rPr>
          <w:iCs/>
          <w:spacing w:val="6"/>
          <w:sz w:val="26"/>
          <w:szCs w:val="26"/>
          <w:lang w:val="es-ES"/>
        </w:rPr>
        <w:t>,</w:t>
      </w:r>
      <w:r w:rsidR="000D1000" w:rsidRPr="00B851BD">
        <w:rPr>
          <w:iCs/>
          <w:spacing w:val="6"/>
          <w:sz w:val="26"/>
          <w:szCs w:val="26"/>
          <w:lang w:val="es-ES"/>
        </w:rPr>
        <w:t xml:space="preserve"> mientras que el valor cubierto por la deuda asumida tiene la consideración de adjudicación en pago de asunción de deuda sujeta al Impuesto sobre Transmisiones Patrimoniales Onerosas (</w:t>
      </w:r>
      <w:hyperlink r:id="rId213" w:history="1">
        <w:r w:rsidR="000D1000" w:rsidRPr="00B851BD">
          <w:rPr>
            <w:rStyle w:val="Hipervnculo"/>
            <w:iCs/>
            <w:spacing w:val="6"/>
            <w:sz w:val="26"/>
            <w:szCs w:val="26"/>
            <w:lang w:val="es-ES"/>
          </w:rPr>
          <w:t>Resoluciones DGT de 18 de mayo de 2007</w:t>
        </w:r>
      </w:hyperlink>
      <w:r w:rsidR="000D1000" w:rsidRPr="00B851BD">
        <w:rPr>
          <w:iCs/>
          <w:spacing w:val="6"/>
          <w:sz w:val="26"/>
          <w:szCs w:val="26"/>
          <w:lang w:val="es-ES"/>
        </w:rPr>
        <w:t xml:space="preserve"> y </w:t>
      </w:r>
      <w:hyperlink r:id="rId214" w:history="1">
        <w:r w:rsidR="000D1000" w:rsidRPr="00B851BD">
          <w:rPr>
            <w:rStyle w:val="Hipervnculo"/>
            <w:iCs/>
            <w:spacing w:val="6"/>
            <w:sz w:val="26"/>
            <w:szCs w:val="26"/>
            <w:lang w:val="es-ES"/>
          </w:rPr>
          <w:t>18 de junio de 2008</w:t>
        </w:r>
      </w:hyperlink>
      <w:r w:rsidR="000D1000" w:rsidRPr="00B851BD">
        <w:rPr>
          <w:iCs/>
          <w:spacing w:val="6"/>
          <w:sz w:val="26"/>
          <w:szCs w:val="26"/>
          <w:lang w:val="es-ES"/>
        </w:rPr>
        <w:t>), con la consecuente obligación de retención del 3% del valor de la contraprestación si el transmitente fuere no residente fiscal (</w:t>
      </w:r>
      <w:hyperlink r:id="rId215" w:anchor="a25" w:history="1">
        <w:r w:rsidR="000D1000" w:rsidRPr="00B851BD">
          <w:rPr>
            <w:rStyle w:val="Hipervnculo"/>
            <w:iCs/>
            <w:spacing w:val="6"/>
            <w:sz w:val="26"/>
            <w:szCs w:val="26"/>
            <w:lang w:val="es-ES"/>
          </w:rPr>
          <w:t>art. 25-2 del Decreto-legislativo 5/2004</w:t>
        </w:r>
      </w:hyperlink>
      <w:r w:rsidR="000D1000" w:rsidRPr="00B851BD">
        <w:rPr>
          <w:iCs/>
          <w:spacing w:val="6"/>
          <w:sz w:val="26"/>
          <w:szCs w:val="26"/>
          <w:lang w:val="es-ES"/>
        </w:rPr>
        <w:t>).</w:t>
      </w:r>
    </w:p>
    <w:p w14:paraId="06ECD0C7" w14:textId="77777777" w:rsidR="0086060E" w:rsidRDefault="00F42061" w:rsidP="00C854F8">
      <w:pPr>
        <w:numPr>
          <w:ilvl w:val="0"/>
          <w:numId w:val="36"/>
        </w:numPr>
        <w:jc w:val="both"/>
        <w:rPr>
          <w:iCs/>
          <w:spacing w:val="6"/>
          <w:sz w:val="26"/>
          <w:szCs w:val="26"/>
        </w:rPr>
      </w:pPr>
      <w:r w:rsidRPr="00B851BD">
        <w:rPr>
          <w:iCs/>
          <w:spacing w:val="6"/>
          <w:sz w:val="26"/>
          <w:szCs w:val="26"/>
        </w:rPr>
        <w:lastRenderedPageBreak/>
        <w:t xml:space="preserve">Tampoco hay que perder la cabeza con los </w:t>
      </w:r>
      <w:r>
        <w:rPr>
          <w:iCs/>
          <w:spacing w:val="6"/>
          <w:sz w:val="26"/>
          <w:szCs w:val="26"/>
        </w:rPr>
        <w:t>beneficios fiscales a la donación propiamente dicha</w:t>
      </w:r>
      <w:r w:rsidRPr="00B851BD">
        <w:rPr>
          <w:iCs/>
          <w:spacing w:val="6"/>
          <w:sz w:val="26"/>
          <w:szCs w:val="26"/>
        </w:rPr>
        <w:t xml:space="preserve">, pues si la donación no es dineraria puede manifestar en el donante una </w:t>
      </w:r>
      <w:bookmarkStart w:id="138" w:name="ganancia"/>
      <w:bookmarkEnd w:id="138"/>
      <w:r w:rsidRPr="00B869A3">
        <w:rPr>
          <w:b/>
          <w:iCs/>
          <w:spacing w:val="6"/>
          <w:sz w:val="26"/>
          <w:szCs w:val="26"/>
        </w:rPr>
        <w:t>ganancia patrimonial sujeta al IRPF</w:t>
      </w:r>
      <w:r w:rsidRPr="0086060E">
        <w:rPr>
          <w:b/>
          <w:iCs/>
          <w:spacing w:val="6"/>
          <w:sz w:val="26"/>
          <w:szCs w:val="26"/>
          <w:vertAlign w:val="superscript"/>
        </w:rPr>
        <w:endnoteReference w:id="24"/>
      </w:r>
      <w:r w:rsidR="000C20C0">
        <w:rPr>
          <w:iCs/>
          <w:spacing w:val="6"/>
          <w:sz w:val="26"/>
          <w:szCs w:val="26"/>
        </w:rPr>
        <w:t xml:space="preserve">, según el </w:t>
      </w:r>
      <w:hyperlink r:id="rId216" w:anchor="a33" w:history="1">
        <w:r w:rsidR="000C20C0" w:rsidRPr="000C20C0">
          <w:rPr>
            <w:rStyle w:val="Hipervnculo"/>
            <w:iCs/>
            <w:spacing w:val="6"/>
            <w:sz w:val="26"/>
            <w:szCs w:val="26"/>
          </w:rPr>
          <w:t>art. 33 de su Ley</w:t>
        </w:r>
      </w:hyperlink>
      <w:r w:rsidR="000C20C0">
        <w:rPr>
          <w:iCs/>
          <w:spacing w:val="6"/>
          <w:sz w:val="26"/>
          <w:szCs w:val="26"/>
        </w:rPr>
        <w:t>.</w:t>
      </w:r>
    </w:p>
    <w:p w14:paraId="461219BD" w14:textId="77777777" w:rsidR="00F42061" w:rsidRPr="00F42061" w:rsidRDefault="0086060E" w:rsidP="00C854F8">
      <w:pPr>
        <w:numPr>
          <w:ilvl w:val="0"/>
          <w:numId w:val="36"/>
        </w:numPr>
        <w:jc w:val="both"/>
        <w:rPr>
          <w:iCs/>
          <w:spacing w:val="6"/>
          <w:sz w:val="26"/>
          <w:szCs w:val="26"/>
        </w:rPr>
      </w:pPr>
      <w:r>
        <w:rPr>
          <w:iCs/>
          <w:spacing w:val="6"/>
          <w:sz w:val="26"/>
          <w:szCs w:val="26"/>
        </w:rPr>
        <w:t xml:space="preserve">Por el contrario, </w:t>
      </w:r>
      <w:r w:rsidR="00B869A3">
        <w:rPr>
          <w:iCs/>
          <w:spacing w:val="6"/>
          <w:sz w:val="26"/>
          <w:szCs w:val="26"/>
        </w:rPr>
        <w:t xml:space="preserve">para las </w:t>
      </w:r>
      <w:r w:rsidR="00B869A3" w:rsidRPr="00B869A3">
        <w:rPr>
          <w:b/>
          <w:iCs/>
          <w:spacing w:val="6"/>
          <w:sz w:val="26"/>
          <w:szCs w:val="26"/>
        </w:rPr>
        <w:t>pérdidas</w:t>
      </w:r>
      <w:r w:rsidR="00B869A3">
        <w:rPr>
          <w:iCs/>
          <w:spacing w:val="6"/>
          <w:sz w:val="26"/>
          <w:szCs w:val="26"/>
        </w:rPr>
        <w:t xml:space="preserve"> </w:t>
      </w:r>
      <w:r>
        <w:rPr>
          <w:iCs/>
          <w:spacing w:val="6"/>
          <w:sz w:val="26"/>
          <w:szCs w:val="26"/>
        </w:rPr>
        <w:t xml:space="preserve">el </w:t>
      </w:r>
      <w:hyperlink r:id="rId217" w:anchor="a33" w:history="1">
        <w:r w:rsidRPr="0086060E">
          <w:rPr>
            <w:rStyle w:val="Hipervnculo"/>
            <w:iCs/>
            <w:spacing w:val="6"/>
            <w:sz w:val="26"/>
            <w:szCs w:val="26"/>
          </w:rPr>
          <w:t>art. 33-5 de la Ley del IRPF</w:t>
        </w:r>
      </w:hyperlink>
      <w:r w:rsidRPr="0086060E">
        <w:rPr>
          <w:iCs/>
          <w:spacing w:val="6"/>
          <w:sz w:val="26"/>
          <w:szCs w:val="26"/>
        </w:rPr>
        <w:t xml:space="preserve"> dice que "</w:t>
      </w:r>
      <w:r w:rsidRPr="0086060E">
        <w:rPr>
          <w:i/>
          <w:spacing w:val="6"/>
          <w:sz w:val="26"/>
          <w:szCs w:val="26"/>
        </w:rPr>
        <w:t>... No se computarán como pérdidas patrimoniales... Las debidas a transmisiones lucrativas por actos ínter vivos o a liberalidades...</w:t>
      </w:r>
      <w:r w:rsidRPr="0086060E">
        <w:rPr>
          <w:iCs/>
          <w:spacing w:val="6"/>
          <w:sz w:val="26"/>
          <w:szCs w:val="26"/>
        </w:rPr>
        <w:t>". Tradicionalmente se viene entendiendo que se prohíbe su computación en términos absolutos (sea contando desde cero o desde el valor de adquisición).</w:t>
      </w:r>
      <w:r w:rsidR="00B869A3">
        <w:rPr>
          <w:iCs/>
          <w:spacing w:val="6"/>
          <w:sz w:val="26"/>
          <w:szCs w:val="26"/>
        </w:rPr>
        <w:t xml:space="preserve"> </w:t>
      </w:r>
      <w:r w:rsidR="0040534E" w:rsidRPr="0040534E">
        <w:rPr>
          <w:iCs/>
          <w:spacing w:val="6"/>
          <w:sz w:val="26"/>
          <w:szCs w:val="26"/>
          <w:lang w:val="es-ES"/>
        </w:rPr>
        <w:t xml:space="preserve">No ha tenido recorrido la doctrina de la </w:t>
      </w:r>
      <w:hyperlink r:id="rId218" w:history="1">
        <w:r w:rsidR="0040534E" w:rsidRPr="0040534E">
          <w:rPr>
            <w:rStyle w:val="Hipervnculo"/>
            <w:iCs/>
            <w:spacing w:val="6"/>
            <w:sz w:val="26"/>
            <w:szCs w:val="26"/>
            <w:lang w:val="es-ES"/>
          </w:rPr>
          <w:t>STSJ Valencia 28/09/2022</w:t>
        </w:r>
      </w:hyperlink>
      <w:r w:rsidR="0040534E" w:rsidRPr="0040534E">
        <w:rPr>
          <w:iCs/>
          <w:spacing w:val="6"/>
          <w:sz w:val="26"/>
          <w:szCs w:val="26"/>
          <w:u w:val="single"/>
          <w:lang w:val="es-ES"/>
        </w:rPr>
        <w:t xml:space="preserve"> </w:t>
      </w:r>
      <w:r w:rsidR="0040534E" w:rsidRPr="0040534E">
        <w:rPr>
          <w:iCs/>
          <w:spacing w:val="6"/>
          <w:sz w:val="26"/>
          <w:szCs w:val="26"/>
          <w:lang w:val="es-ES"/>
        </w:rPr>
        <w:t xml:space="preserve">(que reinterpretó el </w:t>
      </w:r>
      <w:hyperlink r:id="rId219" w:anchor="a36" w:history="1">
        <w:r w:rsidR="0040534E" w:rsidRPr="0040534E">
          <w:rPr>
            <w:rStyle w:val="Hipervnculo"/>
            <w:iCs/>
            <w:spacing w:val="6"/>
            <w:sz w:val="26"/>
            <w:szCs w:val="26"/>
            <w:lang w:val="es-ES"/>
          </w:rPr>
          <w:t>art. 33-5 LIRPF</w:t>
        </w:r>
      </w:hyperlink>
      <w:r w:rsidR="0040534E" w:rsidRPr="0040534E">
        <w:rPr>
          <w:iCs/>
          <w:spacing w:val="6"/>
          <w:sz w:val="26"/>
          <w:szCs w:val="26"/>
          <w:lang w:val="es-ES"/>
        </w:rPr>
        <w:t xml:space="preserve"> entendiendo que es computable la pérdida aflorada en una donación, no en su totalidad sino desde el valor de adquisición), pues ha sido casada por la </w:t>
      </w:r>
      <w:hyperlink r:id="rId220" w:history="1">
        <w:r w:rsidR="0040534E" w:rsidRPr="0040534E">
          <w:rPr>
            <w:rStyle w:val="Hipervnculo"/>
            <w:iCs/>
            <w:spacing w:val="6"/>
            <w:sz w:val="26"/>
            <w:szCs w:val="26"/>
            <w:lang w:val="es-ES"/>
          </w:rPr>
          <w:t>STS 12/04/2024</w:t>
        </w:r>
      </w:hyperlink>
      <w:r w:rsidR="0040534E" w:rsidRPr="0040534E">
        <w:rPr>
          <w:iCs/>
          <w:spacing w:val="6"/>
          <w:sz w:val="26"/>
          <w:szCs w:val="26"/>
          <w:lang w:val="es-ES"/>
        </w:rPr>
        <w:t xml:space="preserve"> (cabe objetar que si ahora tenemos un valor de referencia es para lo malo y para lo bueno; y que la voluntariedad de la transmisión gratuita también se predica de la onerosa, si bien para ésta se fijan plazos de la eventual readquisición)</w:t>
      </w:r>
      <w:r w:rsidRPr="0086060E">
        <w:rPr>
          <w:iCs/>
          <w:spacing w:val="6"/>
          <w:sz w:val="26"/>
          <w:szCs w:val="26"/>
        </w:rPr>
        <w:t>.</w:t>
      </w:r>
    </w:p>
    <w:p w14:paraId="3F725162" w14:textId="77777777" w:rsidR="000D1000" w:rsidRDefault="002D7203" w:rsidP="00C854F8">
      <w:pPr>
        <w:numPr>
          <w:ilvl w:val="0"/>
          <w:numId w:val="36"/>
        </w:numPr>
        <w:jc w:val="both"/>
        <w:rPr>
          <w:iCs/>
          <w:spacing w:val="6"/>
          <w:sz w:val="26"/>
          <w:szCs w:val="26"/>
        </w:rPr>
      </w:pPr>
      <w:r>
        <w:rPr>
          <w:iCs/>
          <w:spacing w:val="6"/>
          <w:sz w:val="26"/>
          <w:szCs w:val="26"/>
        </w:rPr>
        <w:t>Además, l</w:t>
      </w:r>
      <w:r w:rsidR="000D1000" w:rsidRPr="00B851BD">
        <w:rPr>
          <w:iCs/>
          <w:spacing w:val="6"/>
          <w:sz w:val="26"/>
          <w:szCs w:val="26"/>
        </w:rPr>
        <w:t>a donación de un inmueble urbano es susceptible de quedar sujeta al Impuesto sobre Incremento de Valor de los Terrenos de Naturaleza Urbana</w:t>
      </w:r>
      <w:r w:rsidR="00EC047C">
        <w:rPr>
          <w:iCs/>
          <w:spacing w:val="6"/>
          <w:sz w:val="26"/>
          <w:szCs w:val="26"/>
        </w:rPr>
        <w:t xml:space="preserve"> (</w:t>
      </w:r>
      <w:bookmarkStart w:id="139" w:name="plusvalía"/>
      <w:bookmarkEnd w:id="139"/>
      <w:r w:rsidR="00EC047C" w:rsidRPr="00B869A3">
        <w:rPr>
          <w:b/>
          <w:iCs/>
          <w:spacing w:val="6"/>
          <w:sz w:val="26"/>
          <w:szCs w:val="26"/>
        </w:rPr>
        <w:t>“Plusvalía municipal”</w:t>
      </w:r>
      <w:r w:rsidR="00EC047C">
        <w:rPr>
          <w:iCs/>
          <w:spacing w:val="6"/>
          <w:sz w:val="26"/>
          <w:szCs w:val="26"/>
        </w:rPr>
        <w:t>)</w:t>
      </w:r>
      <w:r w:rsidR="000D1000" w:rsidRPr="00B851BD">
        <w:rPr>
          <w:iCs/>
          <w:spacing w:val="6"/>
          <w:sz w:val="26"/>
          <w:szCs w:val="26"/>
        </w:rPr>
        <w:t xml:space="preserve">, siendo el sujeto pasivo el donatario </w:t>
      </w:r>
      <w:r w:rsidR="000D1000" w:rsidRPr="00B851BD">
        <w:rPr>
          <w:spacing w:val="6"/>
          <w:sz w:val="26"/>
          <w:szCs w:val="26"/>
          <w:lang w:val="es-ES"/>
        </w:rPr>
        <w:t>(</w:t>
      </w:r>
      <w:hyperlink r:id="rId221" w:anchor="a104" w:history="1">
        <w:r w:rsidR="000D1000" w:rsidRPr="00B851BD">
          <w:rPr>
            <w:rStyle w:val="Hipervnculo"/>
            <w:spacing w:val="6"/>
            <w:sz w:val="26"/>
            <w:szCs w:val="26"/>
            <w:lang w:val="es-ES"/>
          </w:rPr>
          <w:t>arts</w:t>
        </w:r>
        <w:r w:rsidR="003451A4">
          <w:rPr>
            <w:rStyle w:val="Hipervnculo"/>
            <w:spacing w:val="6"/>
            <w:sz w:val="26"/>
            <w:szCs w:val="26"/>
            <w:lang w:val="es-ES"/>
          </w:rPr>
          <w:t>.</w:t>
        </w:r>
        <w:r w:rsidR="000D1000" w:rsidRPr="00B851BD">
          <w:rPr>
            <w:rStyle w:val="Hipervnculo"/>
            <w:spacing w:val="6"/>
            <w:sz w:val="26"/>
            <w:szCs w:val="26"/>
            <w:lang w:val="es-ES"/>
          </w:rPr>
          <w:t xml:space="preserve"> 104 y s</w:t>
        </w:r>
        <w:r w:rsidR="003451A4">
          <w:rPr>
            <w:rStyle w:val="Hipervnculo"/>
            <w:spacing w:val="6"/>
            <w:sz w:val="26"/>
            <w:szCs w:val="26"/>
            <w:lang w:val="es-ES"/>
          </w:rPr>
          <w:t>s.</w:t>
        </w:r>
        <w:r w:rsidR="000D1000" w:rsidRPr="00B851BD">
          <w:rPr>
            <w:rStyle w:val="Hipervnculo"/>
            <w:spacing w:val="6"/>
            <w:sz w:val="26"/>
            <w:szCs w:val="26"/>
            <w:lang w:val="es-ES"/>
          </w:rPr>
          <w:t xml:space="preserve"> del Decreto-legislativo 2/2004, por el que se aprueba el texto refundido de la Ley Reguladora de las Haciendas Locales</w:t>
        </w:r>
      </w:hyperlink>
      <w:r w:rsidR="000D1000" w:rsidRPr="00B851BD">
        <w:rPr>
          <w:spacing w:val="6"/>
          <w:sz w:val="26"/>
          <w:szCs w:val="26"/>
          <w:lang w:val="es-ES"/>
        </w:rPr>
        <w:t>)</w:t>
      </w:r>
      <w:r w:rsidR="000D1000" w:rsidRPr="00B851BD">
        <w:rPr>
          <w:iCs/>
          <w:spacing w:val="6"/>
          <w:sz w:val="26"/>
          <w:szCs w:val="26"/>
        </w:rPr>
        <w:t>.</w:t>
      </w:r>
    </w:p>
    <w:p w14:paraId="1FA901C2" w14:textId="77777777" w:rsidR="000D1000" w:rsidRPr="00B851BD" w:rsidRDefault="00144214" w:rsidP="00C854F8">
      <w:pPr>
        <w:numPr>
          <w:ilvl w:val="0"/>
          <w:numId w:val="36"/>
        </w:numPr>
        <w:jc w:val="both"/>
        <w:rPr>
          <w:iCs/>
          <w:spacing w:val="6"/>
          <w:sz w:val="26"/>
          <w:szCs w:val="26"/>
        </w:rPr>
      </w:pPr>
      <w:r>
        <w:rPr>
          <w:iCs/>
          <w:spacing w:val="6"/>
          <w:sz w:val="26"/>
          <w:szCs w:val="26"/>
        </w:rPr>
        <w:t>S</w:t>
      </w:r>
      <w:r w:rsidR="000D1000" w:rsidRPr="00B851BD">
        <w:rPr>
          <w:iCs/>
          <w:spacing w:val="6"/>
          <w:sz w:val="26"/>
          <w:szCs w:val="26"/>
        </w:rPr>
        <w:t xml:space="preserve">egún los </w:t>
      </w:r>
      <w:hyperlink r:id="rId222" w:anchor="a42" w:history="1">
        <w:r w:rsidR="000D1000" w:rsidRPr="00B851BD">
          <w:rPr>
            <w:rStyle w:val="Hipervnculo"/>
            <w:iCs/>
            <w:spacing w:val="6"/>
            <w:sz w:val="26"/>
            <w:szCs w:val="26"/>
          </w:rPr>
          <w:t>arts. 42-3</w:t>
        </w:r>
      </w:hyperlink>
      <w:r w:rsidR="000D1000" w:rsidRPr="00B851BD">
        <w:rPr>
          <w:iCs/>
          <w:spacing w:val="6"/>
          <w:sz w:val="26"/>
          <w:szCs w:val="26"/>
        </w:rPr>
        <w:t xml:space="preserve"> y </w:t>
      </w:r>
      <w:hyperlink r:id="rId223" w:anchor="a51" w:history="1">
        <w:r w:rsidR="000D1000" w:rsidRPr="00B851BD">
          <w:rPr>
            <w:rStyle w:val="Hipervnculo"/>
            <w:iCs/>
            <w:spacing w:val="6"/>
            <w:sz w:val="26"/>
            <w:szCs w:val="26"/>
          </w:rPr>
          <w:t>51-4 de sus respectivos Reglamentos</w:t>
        </w:r>
      </w:hyperlink>
      <w:r w:rsidR="000D1000" w:rsidRPr="00B851BD">
        <w:rPr>
          <w:iCs/>
          <w:spacing w:val="6"/>
          <w:sz w:val="26"/>
          <w:szCs w:val="26"/>
        </w:rPr>
        <w:t xml:space="preserve">, si la </w:t>
      </w:r>
      <w:bookmarkStart w:id="140" w:name="usufructo"/>
      <w:bookmarkEnd w:id="140"/>
      <w:r w:rsidR="000D1000" w:rsidRPr="00823633">
        <w:rPr>
          <w:b/>
          <w:iCs/>
          <w:spacing w:val="6"/>
          <w:sz w:val="26"/>
          <w:szCs w:val="26"/>
        </w:rPr>
        <w:t>donación (o renuncia) es de usufructo</w:t>
      </w:r>
      <w:r w:rsidR="000D1000" w:rsidRPr="00B851BD">
        <w:rPr>
          <w:iCs/>
          <w:spacing w:val="6"/>
          <w:sz w:val="26"/>
          <w:szCs w:val="26"/>
        </w:rPr>
        <w:t xml:space="preserve">, se </w:t>
      </w:r>
      <w:r w:rsidR="000D1000" w:rsidRPr="00B851BD">
        <w:rPr>
          <w:iCs/>
          <w:spacing w:val="6"/>
          <w:sz w:val="26"/>
          <w:szCs w:val="26"/>
          <w:lang w:val="es-ES"/>
        </w:rPr>
        <w:t>exigirá al nudo propietario la mayor de las liquidaciones (por ITPOyAJD si constituyó a título oneroso y por ISyD si se constituyó a título gratuito) entre la correspondiente a la consolidación por muerte del usufructua</w:t>
      </w:r>
      <w:r w:rsidR="00233908" w:rsidRPr="00B851BD">
        <w:rPr>
          <w:iCs/>
          <w:spacing w:val="6"/>
          <w:sz w:val="26"/>
          <w:szCs w:val="26"/>
          <w:lang w:val="es-ES"/>
        </w:rPr>
        <w:t>rio (si el usufructo es vitalicio</w:t>
      </w:r>
      <w:r w:rsidR="000D1000" w:rsidRPr="00B851BD">
        <w:rPr>
          <w:iCs/>
          <w:spacing w:val="6"/>
          <w:sz w:val="26"/>
          <w:szCs w:val="26"/>
          <w:lang w:val="es-ES"/>
        </w:rPr>
        <w:t>) o por cumplimiento del plazo (si el usufructo es temporal), y la correspondiente al negocio jurídico (oneroso o gratuito) en cuya virtud se extingue el usufructo (salvo que la consolidación operase en un tercero adquirente simultáneo de usufructo y nuda propiedad, en cuyo caso se girará únicamente la liquidación correspondiente a tales adquisiciones).</w:t>
      </w:r>
    </w:p>
    <w:p w14:paraId="31B52B32" w14:textId="77777777" w:rsidR="00672FA0" w:rsidRPr="00B851BD" w:rsidRDefault="00672FA0" w:rsidP="00C854F8">
      <w:pPr>
        <w:numPr>
          <w:ilvl w:val="0"/>
          <w:numId w:val="36"/>
        </w:numPr>
        <w:jc w:val="both"/>
        <w:rPr>
          <w:iCs/>
          <w:spacing w:val="6"/>
          <w:sz w:val="26"/>
          <w:szCs w:val="26"/>
        </w:rPr>
      </w:pPr>
      <w:r w:rsidRPr="00B851BD">
        <w:rPr>
          <w:iCs/>
          <w:spacing w:val="6"/>
          <w:sz w:val="26"/>
          <w:szCs w:val="26"/>
          <w:lang w:val="es-ES"/>
        </w:rPr>
        <w:t xml:space="preserve">A veces pasa que las transferencias de dinero se han efectuado con una antelación tal que hace inviable su formalización en escritura dentro del plazo de liquidación del impuesto correspondiente a una eventual donación. Resulta conveniente entonces proceder al </w:t>
      </w:r>
      <w:bookmarkStart w:id="141" w:name="recoinocimiento"/>
      <w:bookmarkEnd w:id="141"/>
      <w:r w:rsidRPr="00B869A3">
        <w:rPr>
          <w:b/>
          <w:iCs/>
          <w:spacing w:val="6"/>
          <w:sz w:val="26"/>
          <w:szCs w:val="26"/>
          <w:lang w:val="es-ES"/>
        </w:rPr>
        <w:t>reconocimiento de la deuda</w:t>
      </w:r>
      <w:r w:rsidRPr="00B851BD">
        <w:rPr>
          <w:iCs/>
          <w:spacing w:val="6"/>
          <w:sz w:val="26"/>
          <w:szCs w:val="26"/>
          <w:lang w:val="es-ES"/>
        </w:rPr>
        <w:t xml:space="preserve"> y sólo después a su condonación.</w:t>
      </w:r>
    </w:p>
    <w:p w14:paraId="0E46EE17" w14:textId="77777777" w:rsidR="005E615F" w:rsidRPr="005E615F" w:rsidRDefault="0069486F" w:rsidP="00C854F8">
      <w:pPr>
        <w:numPr>
          <w:ilvl w:val="0"/>
          <w:numId w:val="36"/>
        </w:numPr>
        <w:ind w:left="1151" w:hanging="357"/>
        <w:jc w:val="both"/>
        <w:rPr>
          <w:iCs/>
          <w:spacing w:val="6"/>
          <w:sz w:val="26"/>
          <w:szCs w:val="26"/>
        </w:rPr>
      </w:pPr>
      <w:r>
        <w:rPr>
          <w:iCs/>
          <w:spacing w:val="6"/>
          <w:sz w:val="26"/>
          <w:szCs w:val="26"/>
        </w:rPr>
        <w:t>S</w:t>
      </w:r>
      <w:r w:rsidR="000D1000" w:rsidRPr="00B851BD">
        <w:rPr>
          <w:iCs/>
          <w:spacing w:val="6"/>
          <w:sz w:val="26"/>
          <w:szCs w:val="26"/>
        </w:rPr>
        <w:t xml:space="preserve">in olvidar </w:t>
      </w:r>
      <w:r w:rsidR="005E615F">
        <w:rPr>
          <w:iCs/>
          <w:spacing w:val="6"/>
          <w:sz w:val="26"/>
          <w:szCs w:val="26"/>
        </w:rPr>
        <w:t xml:space="preserve">la </w:t>
      </w:r>
      <w:bookmarkStart w:id="142" w:name="acumulación"/>
      <w:bookmarkEnd w:id="142"/>
      <w:r w:rsidR="005E615F" w:rsidRPr="00B869A3">
        <w:rPr>
          <w:b/>
          <w:iCs/>
          <w:spacing w:val="6"/>
          <w:sz w:val="26"/>
          <w:szCs w:val="26"/>
        </w:rPr>
        <w:t>acumulación</w:t>
      </w:r>
      <w:r w:rsidR="005E615F">
        <w:rPr>
          <w:iCs/>
          <w:spacing w:val="6"/>
          <w:sz w:val="26"/>
          <w:szCs w:val="26"/>
        </w:rPr>
        <w:t xml:space="preserve"> prevista en </w:t>
      </w:r>
      <w:r w:rsidR="005E615F" w:rsidRPr="005E615F">
        <w:rPr>
          <w:iCs/>
          <w:spacing w:val="6"/>
          <w:sz w:val="26"/>
          <w:szCs w:val="26"/>
        </w:rPr>
        <w:t xml:space="preserve">el </w:t>
      </w:r>
      <w:hyperlink r:id="rId224" w:anchor="a30" w:history="1">
        <w:r w:rsidR="005E615F" w:rsidRPr="005E615F">
          <w:rPr>
            <w:rStyle w:val="Hipervnculo"/>
            <w:iCs/>
            <w:spacing w:val="6"/>
            <w:sz w:val="26"/>
            <w:szCs w:val="26"/>
          </w:rPr>
          <w:t xml:space="preserve">art. 30 de la Ley 29/1987 </w:t>
        </w:r>
        <w:r w:rsidR="00B869A3">
          <w:rPr>
            <w:rStyle w:val="Hipervnculo"/>
            <w:iCs/>
            <w:spacing w:val="6"/>
            <w:sz w:val="26"/>
            <w:szCs w:val="26"/>
          </w:rPr>
          <w:t xml:space="preserve">del </w:t>
        </w:r>
        <w:r w:rsidR="005E615F" w:rsidRPr="005E615F">
          <w:rPr>
            <w:rStyle w:val="Hipervnculo"/>
            <w:iCs/>
            <w:spacing w:val="6"/>
            <w:sz w:val="26"/>
            <w:szCs w:val="26"/>
          </w:rPr>
          <w:t>I</w:t>
        </w:r>
        <w:r w:rsidR="00B869A3">
          <w:rPr>
            <w:rStyle w:val="Hipervnculo"/>
            <w:iCs/>
            <w:spacing w:val="6"/>
            <w:sz w:val="26"/>
            <w:szCs w:val="26"/>
          </w:rPr>
          <w:t>mpuesto sobre Sucesiones y Donaciones</w:t>
        </w:r>
      </w:hyperlink>
      <w:r w:rsidR="005E615F" w:rsidRPr="005E615F">
        <w:rPr>
          <w:iCs/>
          <w:spacing w:val="6"/>
          <w:sz w:val="26"/>
          <w:szCs w:val="26"/>
        </w:rPr>
        <w:t>:</w:t>
      </w:r>
    </w:p>
    <w:p w14:paraId="5228A26D" w14:textId="77777777" w:rsidR="005E615F" w:rsidRDefault="005E615F" w:rsidP="005E615F">
      <w:pPr>
        <w:ind w:left="1151"/>
        <w:jc w:val="both"/>
        <w:rPr>
          <w:iCs/>
          <w:spacing w:val="6"/>
          <w:sz w:val="26"/>
          <w:szCs w:val="26"/>
        </w:rPr>
      </w:pPr>
      <w:r>
        <w:rPr>
          <w:iCs/>
          <w:spacing w:val="6"/>
          <w:sz w:val="26"/>
          <w:szCs w:val="26"/>
        </w:rPr>
        <w:t xml:space="preserve">- </w:t>
      </w:r>
      <w:r w:rsidRPr="005E615F">
        <w:rPr>
          <w:iCs/>
          <w:spacing w:val="6"/>
          <w:sz w:val="26"/>
          <w:szCs w:val="26"/>
        </w:rPr>
        <w:t>Las donaciones y pactos sucesorios con efecto de presente se acumulan entre sí en el plazo de 3 años (</w:t>
      </w:r>
      <w:hyperlink r:id="rId225" w:anchor="a30" w:history="1">
        <w:r w:rsidRPr="005E615F">
          <w:rPr>
            <w:rStyle w:val="Hipervnculo"/>
            <w:iCs/>
            <w:spacing w:val="6"/>
            <w:sz w:val="26"/>
            <w:szCs w:val="26"/>
          </w:rPr>
          <w:t>art. 30-</w:t>
        </w:r>
        <w:r w:rsidR="00C65974">
          <w:rPr>
            <w:rStyle w:val="Hipervnculo"/>
            <w:iCs/>
            <w:spacing w:val="6"/>
            <w:sz w:val="26"/>
            <w:szCs w:val="26"/>
          </w:rPr>
          <w:t>1 LISD</w:t>
        </w:r>
      </w:hyperlink>
      <w:r w:rsidRPr="005E615F">
        <w:rPr>
          <w:iCs/>
          <w:spacing w:val="6"/>
          <w:sz w:val="26"/>
          <w:szCs w:val="26"/>
        </w:rPr>
        <w:t>).</w:t>
      </w:r>
      <w:r w:rsidR="00A96B23">
        <w:rPr>
          <w:iCs/>
          <w:spacing w:val="6"/>
          <w:sz w:val="26"/>
          <w:szCs w:val="26"/>
        </w:rPr>
        <w:t xml:space="preserve"> Luego veremos que en Asturias son 10 años.</w:t>
      </w:r>
    </w:p>
    <w:p w14:paraId="7BEC00AB" w14:textId="77777777" w:rsidR="005E615F" w:rsidRPr="005E615F" w:rsidRDefault="005E615F" w:rsidP="005E615F">
      <w:pPr>
        <w:ind w:left="1151"/>
        <w:jc w:val="both"/>
        <w:rPr>
          <w:iCs/>
          <w:spacing w:val="6"/>
          <w:sz w:val="26"/>
          <w:szCs w:val="26"/>
        </w:rPr>
      </w:pPr>
      <w:r>
        <w:rPr>
          <w:iCs/>
          <w:spacing w:val="6"/>
          <w:sz w:val="26"/>
          <w:szCs w:val="26"/>
        </w:rPr>
        <w:lastRenderedPageBreak/>
        <w:t xml:space="preserve">- </w:t>
      </w:r>
      <w:r w:rsidRPr="005E615F">
        <w:rPr>
          <w:iCs/>
          <w:spacing w:val="6"/>
          <w:sz w:val="26"/>
          <w:szCs w:val="26"/>
        </w:rPr>
        <w:t>Las donaciones y pactos sucesorios con efecto de presente se acumulan a la sucesión operada por fallecimiento del causante en el plazo de 4 años (</w:t>
      </w:r>
      <w:hyperlink r:id="rId226" w:anchor="a30" w:history="1">
        <w:r w:rsidRPr="005E615F">
          <w:rPr>
            <w:rStyle w:val="Hipervnculo"/>
            <w:iCs/>
            <w:spacing w:val="6"/>
            <w:sz w:val="26"/>
            <w:szCs w:val="26"/>
          </w:rPr>
          <w:t>art. 30-</w:t>
        </w:r>
        <w:r w:rsidR="00C65974">
          <w:rPr>
            <w:rStyle w:val="Hipervnculo"/>
            <w:iCs/>
            <w:spacing w:val="6"/>
            <w:sz w:val="26"/>
            <w:szCs w:val="26"/>
          </w:rPr>
          <w:t>2 LISD</w:t>
        </w:r>
      </w:hyperlink>
      <w:r w:rsidRPr="005E615F">
        <w:rPr>
          <w:iCs/>
          <w:spacing w:val="6"/>
          <w:sz w:val="26"/>
          <w:szCs w:val="26"/>
        </w:rPr>
        <w:t>).</w:t>
      </w:r>
    </w:p>
    <w:p w14:paraId="27E28E7E" w14:textId="77777777" w:rsidR="00C65974" w:rsidRDefault="005E615F" w:rsidP="00A96B23">
      <w:pPr>
        <w:ind w:left="1151"/>
        <w:jc w:val="both"/>
        <w:rPr>
          <w:spacing w:val="6"/>
          <w:sz w:val="26"/>
          <w:szCs w:val="26"/>
          <w:lang w:val="es-ES"/>
        </w:rPr>
      </w:pPr>
      <w:r w:rsidRPr="005E615F">
        <w:rPr>
          <w:iCs/>
          <w:spacing w:val="6"/>
          <w:sz w:val="26"/>
          <w:szCs w:val="26"/>
        </w:rPr>
        <w:t xml:space="preserve">En tales casos </w:t>
      </w:r>
      <w:r w:rsidR="000D1000" w:rsidRPr="005E615F">
        <w:rPr>
          <w:spacing w:val="6"/>
          <w:sz w:val="26"/>
          <w:szCs w:val="26"/>
          <w:lang w:val="es-ES"/>
        </w:rPr>
        <w:t>la cuota tributaria</w:t>
      </w:r>
      <w:r>
        <w:rPr>
          <w:spacing w:val="6"/>
          <w:sz w:val="26"/>
          <w:szCs w:val="26"/>
          <w:lang w:val="es-ES"/>
        </w:rPr>
        <w:t xml:space="preserve"> se determina</w:t>
      </w:r>
      <w:r w:rsidR="000D1000" w:rsidRPr="005E615F">
        <w:rPr>
          <w:spacing w:val="6"/>
          <w:sz w:val="26"/>
          <w:szCs w:val="26"/>
          <w:lang w:val="es-ES"/>
        </w:rPr>
        <w:t xml:space="preserve"> mediante la aplicación a la base liquidable de la actual adquisición el tipo medio correspondiente a la base liquidable teórica del total de las adquisiciones acumuladas</w:t>
      </w:r>
      <w:r w:rsidR="00C65974">
        <w:rPr>
          <w:spacing w:val="6"/>
          <w:sz w:val="26"/>
          <w:szCs w:val="26"/>
          <w:lang w:val="es-ES"/>
        </w:rPr>
        <w:t>.</w:t>
      </w:r>
    </w:p>
    <w:p w14:paraId="398140AE" w14:textId="77777777" w:rsidR="00A96B23" w:rsidRDefault="00A96B23" w:rsidP="00C65974">
      <w:pPr>
        <w:ind w:left="1151"/>
        <w:jc w:val="both"/>
        <w:rPr>
          <w:iCs/>
          <w:spacing w:val="6"/>
          <w:sz w:val="26"/>
          <w:szCs w:val="26"/>
        </w:rPr>
      </w:pPr>
      <w:r>
        <w:rPr>
          <w:iCs/>
          <w:spacing w:val="6"/>
          <w:sz w:val="26"/>
          <w:szCs w:val="26"/>
        </w:rPr>
        <w:t>Teniendo en cuenta que, en caso de acumulación de donaci</w:t>
      </w:r>
      <w:r w:rsidR="00E72709">
        <w:rPr>
          <w:iCs/>
          <w:spacing w:val="6"/>
          <w:sz w:val="26"/>
          <w:szCs w:val="26"/>
        </w:rPr>
        <w:t>o</w:t>
      </w:r>
      <w:r>
        <w:rPr>
          <w:iCs/>
          <w:spacing w:val="6"/>
          <w:sz w:val="26"/>
          <w:szCs w:val="26"/>
        </w:rPr>
        <w:t>nes, la donación acumulada no computa a los efectos de la determinación del patrimonio preexistente (</w:t>
      </w:r>
      <w:hyperlink r:id="rId227" w:anchor="a22" w:history="1">
        <w:r w:rsidRPr="000174A7">
          <w:rPr>
            <w:rStyle w:val="Hipervnculo"/>
            <w:iCs/>
            <w:spacing w:val="6"/>
            <w:sz w:val="26"/>
            <w:szCs w:val="26"/>
          </w:rPr>
          <w:t>art. 22-3-b LISD</w:t>
        </w:r>
      </w:hyperlink>
      <w:r>
        <w:rPr>
          <w:iCs/>
          <w:spacing w:val="6"/>
          <w:sz w:val="26"/>
          <w:szCs w:val="26"/>
        </w:rPr>
        <w:t>).</w:t>
      </w:r>
    </w:p>
    <w:p w14:paraId="2E9B22F0" w14:textId="77777777" w:rsidR="00C65974" w:rsidRPr="005B1215" w:rsidRDefault="00C65974" w:rsidP="00C65974">
      <w:pPr>
        <w:spacing w:after="60"/>
        <w:ind w:left="1151"/>
        <w:jc w:val="both"/>
        <w:rPr>
          <w:rFonts w:ascii="CG Times" w:hAnsi="CG Times"/>
          <w:spacing w:val="6"/>
          <w:sz w:val="26"/>
          <w:szCs w:val="26"/>
          <w:lang w:val="es-ES"/>
        </w:rPr>
      </w:pPr>
      <w:bookmarkStart w:id="143" w:name="_Hlk208479457"/>
      <w:r w:rsidRPr="005B1215">
        <w:rPr>
          <w:rFonts w:ascii="CG Times" w:hAnsi="CG Times"/>
          <w:iCs/>
          <w:spacing w:val="6"/>
          <w:sz w:val="26"/>
          <w:szCs w:val="26"/>
        </w:rPr>
        <w:t>En caso de acumulación de la donación a la sucesión, se discute si</w:t>
      </w:r>
      <w:r w:rsidRPr="005B1215">
        <w:rPr>
          <w:rFonts w:ascii="CG Times" w:hAnsi="CG Times"/>
          <w:spacing w:val="6"/>
          <w:sz w:val="26"/>
          <w:szCs w:val="26"/>
          <w:lang w:val="es-ES"/>
        </w:rPr>
        <w:t xml:space="preserve"> habrá derecho a la deducción y, en su caso, devolución de lo pagado por la donación anterior, tal y como establecía el art. 30-2 LISD antes de su reforma</w:t>
      </w:r>
      <w:r w:rsidR="00526184" w:rsidRPr="005B1215">
        <w:rPr>
          <w:rFonts w:ascii="CG Times" w:hAnsi="CG Times"/>
          <w:spacing w:val="6"/>
          <w:sz w:val="26"/>
          <w:szCs w:val="26"/>
          <w:lang w:val="es-ES"/>
        </w:rPr>
        <w:t xml:space="preserve"> (la Exposición de Motivos de dicha reforma por la Ley 14/1996 de cesión de tributos a las Comunidades Autónomas sólo contiene una refer</w:t>
      </w:r>
      <w:r w:rsidR="005B1215" w:rsidRPr="005B1215">
        <w:rPr>
          <w:rFonts w:ascii="CG Times" w:hAnsi="CG Times"/>
          <w:spacing w:val="6"/>
          <w:sz w:val="26"/>
          <w:szCs w:val="26"/>
          <w:lang w:val="es-ES"/>
        </w:rPr>
        <w:t>e</w:t>
      </w:r>
      <w:r w:rsidR="00526184" w:rsidRPr="005B1215">
        <w:rPr>
          <w:rFonts w:ascii="CG Times" w:hAnsi="CG Times"/>
          <w:spacing w:val="6"/>
          <w:sz w:val="26"/>
          <w:szCs w:val="26"/>
          <w:lang w:val="es-ES"/>
        </w:rPr>
        <w:t xml:space="preserve">ncia genérica a la </w:t>
      </w:r>
      <w:r w:rsidR="00526184" w:rsidRPr="005B1215">
        <w:rPr>
          <w:rFonts w:ascii="CG Times" w:hAnsi="CG Times"/>
          <w:color w:val="000000"/>
          <w:sz w:val="26"/>
          <w:szCs w:val="26"/>
          <w:shd w:val="clear" w:color="auto" w:fill="FFFFFF"/>
        </w:rPr>
        <w:t>modificación de la normativa propia de cada uno de los tributos cedidos, en orden a su adecuación a</w:t>
      </w:r>
      <w:r w:rsidR="005B1215" w:rsidRPr="005B1215">
        <w:rPr>
          <w:rFonts w:ascii="CG Times" w:hAnsi="CG Times"/>
          <w:color w:val="000000"/>
          <w:sz w:val="26"/>
          <w:szCs w:val="26"/>
          <w:shd w:val="clear" w:color="auto" w:fill="FFFFFF"/>
        </w:rPr>
        <w:t>l nuevo régimen, limitándose en su art. 35 a derogar un concreto precepto de la Ley 31/1990</w:t>
      </w:r>
      <w:r w:rsidR="00526184" w:rsidRPr="005B1215">
        <w:rPr>
          <w:rFonts w:ascii="CG Times" w:hAnsi="CG Times"/>
          <w:spacing w:val="6"/>
          <w:sz w:val="26"/>
          <w:szCs w:val="26"/>
          <w:lang w:val="es-ES"/>
        </w:rPr>
        <w:t>)</w:t>
      </w:r>
      <w:r w:rsidRPr="005B1215">
        <w:rPr>
          <w:rFonts w:ascii="CG Times" w:hAnsi="CG Times"/>
          <w:spacing w:val="6"/>
          <w:sz w:val="26"/>
          <w:szCs w:val="26"/>
          <w:lang w:val="es-ES"/>
        </w:rPr>
        <w:t xml:space="preserve"> y sigue contemplando el </w:t>
      </w:r>
      <w:hyperlink r:id="rId228" w:anchor="a61" w:history="1">
        <w:r w:rsidRPr="005B1215">
          <w:rPr>
            <w:rStyle w:val="Hipervnculo"/>
            <w:rFonts w:ascii="CG Times" w:hAnsi="CG Times"/>
            <w:spacing w:val="6"/>
            <w:sz w:val="26"/>
            <w:szCs w:val="26"/>
            <w:lang w:val="es-ES"/>
          </w:rPr>
          <w:t>art. 61 RISD</w:t>
        </w:r>
      </w:hyperlink>
      <w:r w:rsidRPr="005B1215">
        <w:rPr>
          <w:rFonts w:ascii="CG Times" w:hAnsi="CG Times"/>
          <w:spacing w:val="6"/>
          <w:sz w:val="26"/>
          <w:szCs w:val="26"/>
          <w:lang w:val="es-ES"/>
        </w:rPr>
        <w:t>, que podría entenderse derogado (claramente lo está en relación al plazo de 5 años frente a los 4 años de la Ley) o no (lo que dependerá de que se entienda compatible con la nueva regulación legal, que nada dice en este punto).</w:t>
      </w:r>
      <w:r w:rsidR="006418B0" w:rsidRPr="005B1215">
        <w:rPr>
          <w:rFonts w:ascii="CG Times" w:hAnsi="CG Times"/>
          <w:spacing w:val="6"/>
          <w:sz w:val="26"/>
          <w:szCs w:val="26"/>
          <w:lang w:val="es-ES"/>
        </w:rPr>
        <w:t xml:space="preserve"> La </w:t>
      </w:r>
      <w:hyperlink r:id="rId229" w:history="1">
        <w:r w:rsidR="006418B0" w:rsidRPr="005B1215">
          <w:rPr>
            <w:rStyle w:val="Hipervnculo"/>
            <w:rFonts w:ascii="CG Times" w:hAnsi="CG Times"/>
            <w:spacing w:val="6"/>
            <w:sz w:val="26"/>
            <w:szCs w:val="26"/>
            <w:lang w:val="es-ES"/>
          </w:rPr>
          <w:t xml:space="preserve">Resolución TEAC de </w:t>
        </w:r>
        <w:r w:rsidR="00E87A93" w:rsidRPr="005B1215">
          <w:rPr>
            <w:rStyle w:val="Hipervnculo"/>
            <w:rFonts w:ascii="CG Times" w:hAnsi="CG Times"/>
            <w:spacing w:val="6"/>
            <w:sz w:val="26"/>
            <w:szCs w:val="26"/>
            <w:lang w:val="es-ES"/>
          </w:rPr>
          <w:t>6</w:t>
        </w:r>
        <w:r w:rsidR="006418B0" w:rsidRPr="005B1215">
          <w:rPr>
            <w:rStyle w:val="Hipervnculo"/>
            <w:rFonts w:ascii="CG Times" w:hAnsi="CG Times"/>
            <w:spacing w:val="6"/>
            <w:sz w:val="26"/>
            <w:szCs w:val="26"/>
            <w:lang w:val="es-ES"/>
          </w:rPr>
          <w:t xml:space="preserve"> de octubre de 2010</w:t>
        </w:r>
      </w:hyperlink>
      <w:r w:rsidR="006418B0" w:rsidRPr="005B1215">
        <w:rPr>
          <w:rFonts w:ascii="CG Times" w:hAnsi="CG Times"/>
          <w:spacing w:val="6"/>
          <w:sz w:val="26"/>
          <w:szCs w:val="26"/>
          <w:lang w:val="es-ES"/>
        </w:rPr>
        <w:t xml:space="preserve"> </w:t>
      </w:r>
      <w:r w:rsidR="00526184" w:rsidRPr="005B1215">
        <w:rPr>
          <w:rFonts w:ascii="CG Times" w:hAnsi="CG Times"/>
          <w:spacing w:val="6"/>
          <w:sz w:val="26"/>
          <w:szCs w:val="26"/>
          <w:lang w:val="es-ES"/>
        </w:rPr>
        <w:t xml:space="preserve">(de la que se hace eco la </w:t>
      </w:r>
      <w:hyperlink r:id="rId230" w:history="1">
        <w:r w:rsidR="00526184" w:rsidRPr="005B1215">
          <w:rPr>
            <w:rStyle w:val="Hipervnculo"/>
            <w:rFonts w:ascii="CG Times" w:hAnsi="CG Times"/>
            <w:spacing w:val="6"/>
            <w:sz w:val="26"/>
            <w:szCs w:val="26"/>
            <w:lang w:val="es-ES"/>
          </w:rPr>
          <w:t>Resolución DGT de 25 de enero de 2012</w:t>
        </w:r>
      </w:hyperlink>
      <w:r w:rsidR="00526184" w:rsidRPr="005B1215">
        <w:rPr>
          <w:rFonts w:ascii="CG Times" w:hAnsi="CG Times"/>
          <w:spacing w:val="6"/>
          <w:sz w:val="26"/>
          <w:szCs w:val="26"/>
          <w:lang w:val="es-ES"/>
        </w:rPr>
        <w:t xml:space="preserve">) </w:t>
      </w:r>
      <w:r w:rsidR="006418B0" w:rsidRPr="005B1215">
        <w:rPr>
          <w:rFonts w:ascii="CG Times" w:hAnsi="CG Times"/>
          <w:spacing w:val="6"/>
          <w:sz w:val="26"/>
          <w:szCs w:val="26"/>
          <w:lang w:val="es-ES"/>
        </w:rPr>
        <w:t xml:space="preserve">entiende que está derogado y que no hay derecho a </w:t>
      </w:r>
      <w:r w:rsidR="00E87A93" w:rsidRPr="005B1215">
        <w:rPr>
          <w:rFonts w:ascii="CG Times" w:hAnsi="CG Times"/>
          <w:spacing w:val="6"/>
          <w:sz w:val="26"/>
          <w:szCs w:val="26"/>
          <w:lang w:val="es-ES"/>
        </w:rPr>
        <w:t>la</w:t>
      </w:r>
      <w:r w:rsidR="006418B0" w:rsidRPr="005B1215">
        <w:rPr>
          <w:rFonts w:ascii="CG Times" w:hAnsi="CG Times"/>
          <w:spacing w:val="6"/>
          <w:sz w:val="26"/>
          <w:szCs w:val="26"/>
          <w:lang w:val="es-ES"/>
        </w:rPr>
        <w:t xml:space="preserve"> devolución y ni tan siquiera a la deducción, por considerar que no hay un doble gravamen, pues no se incrementa la base de la sucesión con la donación, sino el tipo de gravamen</w:t>
      </w:r>
      <w:r w:rsidR="00E87A93" w:rsidRPr="005B1215">
        <w:rPr>
          <w:rFonts w:ascii="CG Times" w:hAnsi="CG Times"/>
          <w:spacing w:val="6"/>
          <w:sz w:val="26"/>
          <w:szCs w:val="26"/>
          <w:lang w:val="es-ES"/>
        </w:rPr>
        <w:t xml:space="preserve"> (lo cual no deja de ser un sofisma, cuya corrección habría de venir por vía judicial</w:t>
      </w:r>
      <w:r w:rsidR="00526184" w:rsidRPr="005B1215">
        <w:rPr>
          <w:rFonts w:ascii="CG Times" w:hAnsi="CG Times"/>
          <w:spacing w:val="6"/>
          <w:sz w:val="26"/>
          <w:szCs w:val="26"/>
          <w:lang w:val="es-ES"/>
        </w:rPr>
        <w:t>)</w:t>
      </w:r>
      <w:r w:rsidR="006418B0" w:rsidRPr="005B1215">
        <w:rPr>
          <w:rFonts w:ascii="CG Times" w:hAnsi="CG Times"/>
          <w:spacing w:val="6"/>
          <w:sz w:val="26"/>
          <w:szCs w:val="26"/>
          <w:lang w:val="es-ES"/>
        </w:rPr>
        <w:t>.</w:t>
      </w:r>
      <w:r w:rsidR="00437A27">
        <w:rPr>
          <w:rFonts w:ascii="CG Times" w:hAnsi="CG Times"/>
          <w:spacing w:val="6"/>
          <w:sz w:val="26"/>
          <w:szCs w:val="26"/>
          <w:lang w:val="es-ES"/>
        </w:rPr>
        <w:t xml:space="preserve"> Debe tenerse en cuenta, además, que en caso de acumulación de donaciones, </w:t>
      </w:r>
      <w:hyperlink r:id="rId231" w:history="1">
        <w:r w:rsidR="00437A27" w:rsidRPr="002D2F13">
          <w:rPr>
            <w:rStyle w:val="Hipervnculo"/>
            <w:rFonts w:ascii="CG Times" w:hAnsi="CG Times"/>
            <w:spacing w:val="6"/>
            <w:sz w:val="26"/>
            <w:szCs w:val="26"/>
            <w:lang w:val="es-ES"/>
          </w:rPr>
          <w:t>Navarra</w:t>
        </w:r>
      </w:hyperlink>
      <w:r w:rsidR="000456C3">
        <w:rPr>
          <w:rFonts w:ascii="CG Times" w:hAnsi="CG Times"/>
          <w:spacing w:val="6"/>
          <w:sz w:val="26"/>
          <w:szCs w:val="26"/>
          <w:lang w:val="es-ES"/>
        </w:rPr>
        <w:t xml:space="preserve"> (el plazo es de 3 años)</w:t>
      </w:r>
      <w:r w:rsidR="00437A27">
        <w:rPr>
          <w:rFonts w:ascii="CG Times" w:hAnsi="CG Times"/>
          <w:spacing w:val="6"/>
          <w:sz w:val="26"/>
          <w:szCs w:val="26"/>
          <w:lang w:val="es-ES"/>
        </w:rPr>
        <w:t xml:space="preserve"> </w:t>
      </w:r>
      <w:r w:rsidR="002D2F13">
        <w:rPr>
          <w:rFonts w:ascii="CG Times" w:hAnsi="CG Times"/>
          <w:spacing w:val="6"/>
          <w:sz w:val="26"/>
          <w:szCs w:val="26"/>
          <w:lang w:val="es-ES"/>
        </w:rPr>
        <w:t xml:space="preserve">nada dice de la deducción pero </w:t>
      </w:r>
      <w:r w:rsidR="00437A27">
        <w:rPr>
          <w:rFonts w:ascii="CG Times" w:hAnsi="CG Times"/>
          <w:spacing w:val="6"/>
          <w:sz w:val="26"/>
          <w:szCs w:val="26"/>
          <w:lang w:val="es-ES"/>
        </w:rPr>
        <w:t>excluye expresamente la devolución</w:t>
      </w:r>
      <w:r w:rsidR="00F51235">
        <w:rPr>
          <w:rFonts w:ascii="CG Times" w:hAnsi="CG Times"/>
          <w:spacing w:val="6"/>
          <w:sz w:val="26"/>
          <w:szCs w:val="26"/>
          <w:lang w:val="es-ES"/>
        </w:rPr>
        <w:t xml:space="preserve">, </w:t>
      </w:r>
      <w:hyperlink r:id="rId232" w:history="1">
        <w:r w:rsidR="00F51235" w:rsidRPr="00363D08">
          <w:rPr>
            <w:rStyle w:val="Hipervnculo"/>
            <w:rFonts w:ascii="CG Times" w:hAnsi="CG Times"/>
            <w:spacing w:val="6"/>
            <w:sz w:val="26"/>
            <w:szCs w:val="26"/>
            <w:lang w:val="es-ES"/>
          </w:rPr>
          <w:t>Álava</w:t>
        </w:r>
      </w:hyperlink>
      <w:r w:rsidR="00F51235">
        <w:rPr>
          <w:rFonts w:ascii="CG Times" w:hAnsi="CG Times"/>
          <w:spacing w:val="6"/>
          <w:sz w:val="26"/>
          <w:szCs w:val="26"/>
          <w:lang w:val="es-ES"/>
        </w:rPr>
        <w:t xml:space="preserve"> (el plazo es de 3 años)</w:t>
      </w:r>
      <w:bookmarkStart w:id="144" w:name="_Hlk208477295"/>
      <w:r w:rsidR="000456C3">
        <w:rPr>
          <w:rFonts w:ascii="CG Times" w:hAnsi="CG Times"/>
          <w:spacing w:val="6"/>
          <w:sz w:val="26"/>
          <w:szCs w:val="26"/>
          <w:lang w:val="es-ES"/>
        </w:rPr>
        <w:t xml:space="preserve"> </w:t>
      </w:r>
      <w:r w:rsidR="00F51235">
        <w:rPr>
          <w:rFonts w:ascii="CG Times" w:hAnsi="CG Times"/>
          <w:spacing w:val="6"/>
          <w:sz w:val="26"/>
          <w:szCs w:val="26"/>
          <w:lang w:val="es-ES"/>
        </w:rPr>
        <w:t>contempla expresam</w:t>
      </w:r>
      <w:r w:rsidR="007861C8">
        <w:rPr>
          <w:rFonts w:ascii="CG Times" w:hAnsi="CG Times"/>
          <w:spacing w:val="6"/>
          <w:sz w:val="26"/>
          <w:szCs w:val="26"/>
          <w:lang w:val="es-ES"/>
        </w:rPr>
        <w:t>e</w:t>
      </w:r>
      <w:r w:rsidR="00F51235">
        <w:rPr>
          <w:rFonts w:ascii="CG Times" w:hAnsi="CG Times"/>
          <w:spacing w:val="6"/>
          <w:sz w:val="26"/>
          <w:szCs w:val="26"/>
          <w:lang w:val="es-ES"/>
        </w:rPr>
        <w:t>nte la deducción y excluye expresam</w:t>
      </w:r>
      <w:r w:rsidR="007861C8">
        <w:rPr>
          <w:rFonts w:ascii="CG Times" w:hAnsi="CG Times"/>
          <w:spacing w:val="6"/>
          <w:sz w:val="26"/>
          <w:szCs w:val="26"/>
          <w:lang w:val="es-ES"/>
        </w:rPr>
        <w:t>e</w:t>
      </w:r>
      <w:r w:rsidR="00F51235">
        <w:rPr>
          <w:rFonts w:ascii="CG Times" w:hAnsi="CG Times"/>
          <w:spacing w:val="6"/>
          <w:sz w:val="26"/>
          <w:szCs w:val="26"/>
          <w:lang w:val="es-ES"/>
        </w:rPr>
        <w:t>nte la devolución</w:t>
      </w:r>
      <w:bookmarkEnd w:id="144"/>
      <w:r w:rsidR="00F51235">
        <w:rPr>
          <w:rFonts w:ascii="CG Times" w:hAnsi="CG Times"/>
          <w:spacing w:val="6"/>
          <w:sz w:val="26"/>
          <w:szCs w:val="26"/>
          <w:lang w:val="es-ES"/>
        </w:rPr>
        <w:t xml:space="preserve">, </w:t>
      </w:r>
      <w:hyperlink r:id="rId233" w:history="1">
        <w:r w:rsidR="007861C8" w:rsidRPr="007861C8">
          <w:rPr>
            <w:rStyle w:val="Hipervnculo"/>
            <w:rFonts w:ascii="CG Times" w:hAnsi="CG Times"/>
            <w:spacing w:val="6"/>
            <w:sz w:val="26"/>
            <w:szCs w:val="26"/>
            <w:lang w:val="es-ES"/>
          </w:rPr>
          <w:t>Bizkaia</w:t>
        </w:r>
      </w:hyperlink>
      <w:r w:rsidR="007861C8" w:rsidRPr="007861C8">
        <w:rPr>
          <w:rFonts w:ascii="CG Times" w:hAnsi="CG Times"/>
          <w:spacing w:val="6"/>
          <w:sz w:val="26"/>
          <w:szCs w:val="26"/>
          <w:lang w:val="es-ES"/>
        </w:rPr>
        <w:t xml:space="preserve"> </w:t>
      </w:r>
      <w:r w:rsidR="007861C8">
        <w:rPr>
          <w:rFonts w:ascii="CG Times" w:hAnsi="CG Times"/>
          <w:spacing w:val="6"/>
          <w:sz w:val="26"/>
          <w:szCs w:val="26"/>
          <w:lang w:val="es-ES"/>
        </w:rPr>
        <w:t xml:space="preserve">(el plazo es de 4 años) contempla expresamente la deducción y excluye expresamente la devolución y </w:t>
      </w:r>
      <w:hyperlink r:id="rId234" w:history="1">
        <w:r w:rsidR="00F51235" w:rsidRPr="000456C3">
          <w:rPr>
            <w:rStyle w:val="Hipervnculo"/>
            <w:rFonts w:ascii="CG Times" w:hAnsi="CG Times"/>
            <w:spacing w:val="6"/>
            <w:sz w:val="26"/>
            <w:szCs w:val="26"/>
            <w:lang w:val="es-ES"/>
          </w:rPr>
          <w:t>Gipuzkoa</w:t>
        </w:r>
      </w:hyperlink>
      <w:r w:rsidR="00F51235">
        <w:rPr>
          <w:rFonts w:ascii="CG Times" w:hAnsi="CG Times"/>
          <w:spacing w:val="6"/>
          <w:sz w:val="26"/>
          <w:szCs w:val="26"/>
          <w:lang w:val="es-ES"/>
        </w:rPr>
        <w:t xml:space="preserve"> (el plazo es de 4 años) contempla expresamente la deducción y devolución</w:t>
      </w:r>
      <w:r w:rsidR="007861C8">
        <w:rPr>
          <w:rFonts w:ascii="CG Times" w:hAnsi="CG Times"/>
          <w:spacing w:val="6"/>
          <w:sz w:val="26"/>
          <w:szCs w:val="26"/>
          <w:lang w:val="es-ES"/>
        </w:rPr>
        <w:t>.</w:t>
      </w:r>
    </w:p>
    <w:p w14:paraId="10980EDB" w14:textId="77777777" w:rsidR="00EE1145" w:rsidRDefault="00EE1145" w:rsidP="00C854F8">
      <w:pPr>
        <w:numPr>
          <w:ilvl w:val="1"/>
          <w:numId w:val="15"/>
        </w:numPr>
        <w:tabs>
          <w:tab w:val="num" w:pos="426"/>
          <w:tab w:val="num" w:pos="1440"/>
          <w:tab w:val="num" w:pos="2520"/>
        </w:tabs>
        <w:jc w:val="both"/>
        <w:rPr>
          <w:b/>
          <w:spacing w:val="6"/>
          <w:sz w:val="22"/>
          <w:szCs w:val="22"/>
        </w:rPr>
      </w:pPr>
      <w:bookmarkStart w:id="145" w:name="C1"/>
      <w:bookmarkEnd w:id="143"/>
      <w:bookmarkEnd w:id="145"/>
      <w:r>
        <w:rPr>
          <w:b/>
          <w:spacing w:val="6"/>
          <w:sz w:val="26"/>
          <w:szCs w:val="26"/>
        </w:rPr>
        <w:t>Reducción del 95% para descendientes jóvenes o discapacitados por donación dineraria destinada a primera vivienda habitual protegida</w:t>
      </w:r>
    </w:p>
    <w:p w14:paraId="347EADD8" w14:textId="77777777" w:rsidR="00EE1145" w:rsidRDefault="00EE1145" w:rsidP="00C854F8">
      <w:pPr>
        <w:numPr>
          <w:ilvl w:val="2"/>
          <w:numId w:val="15"/>
        </w:numPr>
        <w:tabs>
          <w:tab w:val="num" w:pos="2520"/>
        </w:tabs>
        <w:jc w:val="both"/>
        <w:rPr>
          <w:b/>
          <w:spacing w:val="6"/>
          <w:sz w:val="22"/>
          <w:szCs w:val="22"/>
        </w:rPr>
      </w:pPr>
      <w:bookmarkStart w:id="146" w:name="n311"/>
      <w:bookmarkEnd w:id="146"/>
      <w:r>
        <w:rPr>
          <w:b/>
          <w:spacing w:val="6"/>
          <w:sz w:val="26"/>
          <w:szCs w:val="26"/>
        </w:rPr>
        <w:t>Normativa vigente</w:t>
      </w:r>
    </w:p>
    <w:p w14:paraId="7ADFF97A" w14:textId="77777777" w:rsidR="00EE1145" w:rsidRDefault="00EE1145" w:rsidP="0049149F">
      <w:pPr>
        <w:ind w:left="1440"/>
        <w:jc w:val="both"/>
        <w:rPr>
          <w:spacing w:val="6"/>
          <w:sz w:val="26"/>
          <w:szCs w:val="26"/>
        </w:rPr>
      </w:pPr>
      <w:hyperlink r:id="rId235" w:anchor="a20" w:history="1">
        <w:r>
          <w:rPr>
            <w:rStyle w:val="Hipervnculo"/>
            <w:rFonts w:ascii="Times New Roman" w:hAnsi="Times New Roman"/>
            <w:sz w:val="26"/>
            <w:szCs w:val="26"/>
            <w:lang w:val="es-ES"/>
          </w:rPr>
          <w:t>Art. 20 del Decreto-legislativo asturiano 2/2014</w:t>
        </w:r>
      </w:hyperlink>
      <w:r>
        <w:rPr>
          <w:spacing w:val="6"/>
          <w:sz w:val="26"/>
          <w:szCs w:val="26"/>
        </w:rPr>
        <w:t>: Reducción del 95% en la base imponible del Impuesto sobre Donaciones para descendientes</w:t>
      </w:r>
      <w:r>
        <w:rPr>
          <w:rStyle w:val="Refdenotaalfinal"/>
          <w:b/>
          <w:spacing w:val="6"/>
          <w:sz w:val="28"/>
          <w:szCs w:val="28"/>
        </w:rPr>
        <w:endnoteReference w:id="25"/>
      </w:r>
      <w:r>
        <w:rPr>
          <w:spacing w:val="6"/>
          <w:sz w:val="26"/>
          <w:szCs w:val="26"/>
        </w:rPr>
        <w:t xml:space="preserve"> menores de 35 años o con un grado de </w:t>
      </w:r>
      <w:r>
        <w:rPr>
          <w:spacing w:val="6"/>
          <w:sz w:val="26"/>
          <w:szCs w:val="26"/>
        </w:rPr>
        <w:lastRenderedPageBreak/>
        <w:t>discapacidad igual o superior al 65%, cuya renta no supere 4,5 veces el IPREM, por las cantidades donadas</w:t>
      </w:r>
      <w:r>
        <w:rPr>
          <w:rStyle w:val="Refdenotaalfinal"/>
          <w:b/>
          <w:spacing w:val="6"/>
          <w:sz w:val="28"/>
          <w:szCs w:val="28"/>
        </w:rPr>
        <w:endnoteReference w:id="26"/>
      </w:r>
      <w:r>
        <w:rPr>
          <w:spacing w:val="6"/>
          <w:sz w:val="26"/>
          <w:szCs w:val="26"/>
        </w:rPr>
        <w:t xml:space="preserve"> por sus ascendientes</w:t>
      </w:r>
      <w:r>
        <w:rPr>
          <w:rStyle w:val="Refdenotaalfinal"/>
          <w:b/>
          <w:spacing w:val="6"/>
          <w:sz w:val="28"/>
          <w:szCs w:val="28"/>
        </w:rPr>
        <w:endnoteReference w:id="27"/>
      </w:r>
      <w:r>
        <w:rPr>
          <w:spacing w:val="6"/>
          <w:sz w:val="26"/>
          <w:szCs w:val="26"/>
        </w:rPr>
        <w:t>, por importe no superior a 60.000 € en el caso de los jóvenes y de 120.000 € en el caso de los discapacitados,  y destinadas a la adquisición de su primera vivienda habitual protegida, la cual debe radicar en Asturias</w:t>
      </w:r>
      <w:r>
        <w:rPr>
          <w:rStyle w:val="Refdenotaalfinal"/>
          <w:b/>
          <w:spacing w:val="6"/>
          <w:sz w:val="28"/>
          <w:szCs w:val="28"/>
        </w:rPr>
        <w:endnoteReference w:id="28"/>
      </w:r>
      <w:r>
        <w:rPr>
          <w:spacing w:val="6"/>
          <w:sz w:val="26"/>
          <w:szCs w:val="26"/>
        </w:rPr>
        <w:t>.</w:t>
      </w:r>
    </w:p>
    <w:p w14:paraId="7D72BE7E" w14:textId="77777777" w:rsidR="00EE1145" w:rsidRDefault="00EE1145" w:rsidP="0049149F">
      <w:pPr>
        <w:ind w:left="1440"/>
        <w:jc w:val="both"/>
        <w:rPr>
          <w:spacing w:val="6"/>
          <w:sz w:val="26"/>
          <w:szCs w:val="26"/>
        </w:rPr>
      </w:pPr>
      <w:r>
        <w:rPr>
          <w:spacing w:val="6"/>
          <w:sz w:val="26"/>
          <w:szCs w:val="26"/>
        </w:rPr>
        <w:t>Advertir:</w:t>
      </w:r>
    </w:p>
    <w:p w14:paraId="3602EDAC" w14:textId="77777777" w:rsidR="00EE1145" w:rsidRDefault="00EE1145" w:rsidP="00C854F8">
      <w:pPr>
        <w:numPr>
          <w:ilvl w:val="0"/>
          <w:numId w:val="25"/>
        </w:numPr>
        <w:jc w:val="both"/>
        <w:rPr>
          <w:spacing w:val="6"/>
          <w:sz w:val="26"/>
          <w:szCs w:val="26"/>
        </w:rPr>
      </w:pPr>
      <w:r>
        <w:rPr>
          <w:spacing w:val="6"/>
          <w:sz w:val="26"/>
          <w:szCs w:val="26"/>
        </w:rPr>
        <w:t>La donación deberá formalizarse en escritura pública debiendo constar de forma expresa que el dinero donado se destine íntegramente a la adquisición de la primera vivienda habitual del donatario.</w:t>
      </w:r>
    </w:p>
    <w:p w14:paraId="2964A9BD" w14:textId="77777777" w:rsidR="00EE1145" w:rsidRDefault="00EE1145" w:rsidP="00C854F8">
      <w:pPr>
        <w:numPr>
          <w:ilvl w:val="0"/>
          <w:numId w:val="25"/>
        </w:numPr>
        <w:ind w:left="1797" w:hanging="357"/>
        <w:jc w:val="both"/>
        <w:rPr>
          <w:spacing w:val="6"/>
          <w:sz w:val="26"/>
          <w:szCs w:val="26"/>
        </w:rPr>
      </w:pPr>
      <w:r>
        <w:rPr>
          <w:spacing w:val="6"/>
          <w:sz w:val="26"/>
          <w:szCs w:val="26"/>
        </w:rPr>
        <w:t>La adquisición de la vivienda deberá realizarse en un plazo de 6 meses a contar desde el devengo del impuesto que grava la donación. En caso de llevarse a cabo sucesivas donaciones con el mismo fin, el plazo se computará desde la fecha de la primera. La reducción no se aplicará a donaciones de dinero posteriores a la compra de la vivienda.</w:t>
      </w:r>
    </w:p>
    <w:p w14:paraId="15D091BA" w14:textId="77777777" w:rsidR="00EE1145" w:rsidRDefault="00EE1145" w:rsidP="00C854F8">
      <w:pPr>
        <w:numPr>
          <w:ilvl w:val="2"/>
          <w:numId w:val="15"/>
        </w:numPr>
        <w:tabs>
          <w:tab w:val="num" w:pos="2520"/>
        </w:tabs>
        <w:jc w:val="both"/>
        <w:rPr>
          <w:b/>
          <w:spacing w:val="6"/>
          <w:sz w:val="22"/>
          <w:szCs w:val="22"/>
        </w:rPr>
      </w:pPr>
      <w:bookmarkStart w:id="147" w:name="t312"/>
      <w:bookmarkEnd w:id="147"/>
      <w:r>
        <w:rPr>
          <w:b/>
          <w:spacing w:val="6"/>
          <w:sz w:val="26"/>
          <w:szCs w:val="26"/>
        </w:rPr>
        <w:t>Tratamiento notarial</w:t>
      </w:r>
      <w:r>
        <w:rPr>
          <w:rStyle w:val="Refdenotaalfinal"/>
          <w:b/>
          <w:spacing w:val="6"/>
          <w:sz w:val="28"/>
          <w:szCs w:val="28"/>
        </w:rPr>
        <w:endnoteReference w:id="29"/>
      </w:r>
    </w:p>
    <w:p w14:paraId="7D734CC8" w14:textId="77777777" w:rsidR="00EE1145" w:rsidRDefault="00EE1145" w:rsidP="0049149F">
      <w:pPr>
        <w:numPr>
          <w:ilvl w:val="0"/>
          <w:numId w:val="2"/>
        </w:numPr>
        <w:tabs>
          <w:tab w:val="num" w:pos="360"/>
        </w:tabs>
        <w:jc w:val="both"/>
        <w:rPr>
          <w:spacing w:val="6"/>
          <w:sz w:val="26"/>
          <w:szCs w:val="26"/>
          <w:u w:val="single"/>
        </w:rPr>
      </w:pPr>
      <w:r>
        <w:rPr>
          <w:spacing w:val="6"/>
          <w:sz w:val="26"/>
          <w:szCs w:val="26"/>
        </w:rPr>
        <w:t>Habrán de comparecer en la escritura el/los ascendiente/s</w:t>
      </w:r>
      <w:r>
        <w:rPr>
          <w:rStyle w:val="Refdenotaalfinal"/>
          <w:b/>
          <w:spacing w:val="6"/>
          <w:sz w:val="28"/>
          <w:szCs w:val="28"/>
        </w:rPr>
        <w:endnoteReference w:id="30"/>
      </w:r>
      <w:r>
        <w:rPr>
          <w:spacing w:val="6"/>
          <w:sz w:val="26"/>
          <w:szCs w:val="26"/>
        </w:rPr>
        <w:t>.</w:t>
      </w:r>
    </w:p>
    <w:p w14:paraId="4B55880C" w14:textId="77777777" w:rsidR="00EE1145" w:rsidRDefault="00EE1145" w:rsidP="0049149F">
      <w:pPr>
        <w:numPr>
          <w:ilvl w:val="0"/>
          <w:numId w:val="3"/>
        </w:numPr>
        <w:tabs>
          <w:tab w:val="num" w:pos="360"/>
        </w:tabs>
        <w:rPr>
          <w:rFonts w:ascii="CG Times" w:hAnsi="CG Times"/>
          <w:sz w:val="26"/>
          <w:szCs w:val="26"/>
        </w:rPr>
      </w:pPr>
      <w:r>
        <w:rPr>
          <w:rFonts w:ascii="CG Times" w:hAnsi="CG Times"/>
          <w:sz w:val="26"/>
          <w:szCs w:val="26"/>
        </w:rPr>
        <w:t xml:space="preserve">Incluir la siguiente cláusula en la Exposición: </w:t>
      </w:r>
    </w:p>
    <w:p w14:paraId="2B5103B6" w14:textId="77777777" w:rsidR="00EE1145" w:rsidRDefault="00EE1145" w:rsidP="0049149F">
      <w:pPr>
        <w:ind w:left="1800"/>
        <w:jc w:val="both"/>
        <w:rPr>
          <w:rFonts w:ascii="CG Times" w:hAnsi="CG Times"/>
          <w:sz w:val="26"/>
          <w:szCs w:val="26"/>
        </w:rPr>
      </w:pPr>
      <w:r>
        <w:rPr>
          <w:rFonts w:ascii="CG Times" w:hAnsi="CG Times"/>
          <w:sz w:val="26"/>
          <w:szCs w:val="26"/>
        </w:rPr>
        <w:t>"</w:t>
      </w:r>
      <w:r>
        <w:rPr>
          <w:rFonts w:ascii="CG Times" w:hAnsi="CG Times"/>
          <w:b/>
          <w:sz w:val="26"/>
          <w:szCs w:val="26"/>
        </w:rPr>
        <w:t>E) Declaraciones fiscales.-</w:t>
      </w:r>
      <w:r>
        <w:rPr>
          <w:rFonts w:ascii="CG Times" w:hAnsi="CG Times"/>
          <w:sz w:val="26"/>
          <w:szCs w:val="26"/>
        </w:rPr>
        <w:t xml:space="preserve"> A los efectos previstos en el </w:t>
      </w:r>
      <w:hyperlink r:id="rId236" w:anchor="a20" w:history="1">
        <w:r>
          <w:rPr>
            <w:rStyle w:val="Hipervnculo"/>
            <w:rFonts w:ascii="Times New Roman" w:hAnsi="Times New Roman"/>
            <w:sz w:val="26"/>
            <w:szCs w:val="26"/>
            <w:lang w:val="es-ES"/>
          </w:rPr>
          <w:t>art. 20 del Decreto-legislativo asturiano 2/2014</w:t>
        </w:r>
      </w:hyperlink>
      <w:r>
        <w:rPr>
          <w:rFonts w:ascii="Times New Roman" w:hAnsi="Times New Roman"/>
          <w:sz w:val="26"/>
          <w:szCs w:val="26"/>
          <w:lang w:val="es-ES"/>
        </w:rPr>
        <w:t xml:space="preserve"> </w:t>
      </w:r>
      <w:r>
        <w:rPr>
          <w:rFonts w:ascii="CG Times" w:hAnsi="CG Times"/>
          <w:sz w:val="26"/>
          <w:szCs w:val="26"/>
        </w:rPr>
        <w:t>sobre aplicación de una reducción del 95% en la base imponible del Impuesto de Donaciones, siendo dicha base máxima reducible de ***</w:t>
      </w:r>
      <w:r>
        <w:rPr>
          <w:rFonts w:ascii="CG Times" w:hAnsi="CG Times"/>
          <w:i/>
          <w:sz w:val="26"/>
          <w:szCs w:val="26"/>
        </w:rPr>
        <w:t>jóvenes</w:t>
      </w:r>
      <w:r>
        <w:rPr>
          <w:rFonts w:ascii="CG Times" w:hAnsi="CG Times"/>
          <w:sz w:val="26"/>
          <w:szCs w:val="26"/>
        </w:rPr>
        <w:t xml:space="preserve"> 60.000 € ***</w:t>
      </w:r>
      <w:r>
        <w:rPr>
          <w:rFonts w:ascii="CG Times" w:hAnsi="CG Times"/>
          <w:i/>
          <w:sz w:val="26"/>
          <w:szCs w:val="26"/>
        </w:rPr>
        <w:t>discapacitados</w:t>
      </w:r>
      <w:r>
        <w:rPr>
          <w:rFonts w:ascii="CG Times" w:hAnsi="CG Times"/>
          <w:sz w:val="26"/>
          <w:szCs w:val="26"/>
        </w:rPr>
        <w:t xml:space="preserve"> 120.000 €, el/la adquirente DON/DOÑA *** manifiesta:</w:t>
      </w:r>
    </w:p>
    <w:p w14:paraId="5E081E4E" w14:textId="77777777" w:rsidR="00EE1145" w:rsidRDefault="00EE1145" w:rsidP="0049149F">
      <w:pPr>
        <w:ind w:left="1800"/>
        <w:jc w:val="both"/>
        <w:rPr>
          <w:rFonts w:ascii="CG Times" w:hAnsi="CG Times"/>
          <w:sz w:val="26"/>
          <w:szCs w:val="26"/>
        </w:rPr>
      </w:pPr>
      <w:r>
        <w:rPr>
          <w:rFonts w:ascii="CG Times" w:hAnsi="CG Times"/>
          <w:sz w:val="26"/>
          <w:szCs w:val="26"/>
        </w:rPr>
        <w:t>- Que al precio satisfecho ha aplicado íntegramente la cantidad de ***, que le ha sido donada por su/s ascendiente/s DON *** (*** €) y DOÑA *** (*** €), solemnizándola las partes en este acto.</w:t>
      </w:r>
    </w:p>
    <w:p w14:paraId="787F7139" w14:textId="77777777" w:rsidR="00EE1145" w:rsidRDefault="00EE1145" w:rsidP="0049149F">
      <w:pPr>
        <w:ind w:left="1800"/>
        <w:jc w:val="both"/>
        <w:rPr>
          <w:rFonts w:ascii="CG Times" w:hAnsi="CG Times"/>
          <w:sz w:val="26"/>
          <w:szCs w:val="26"/>
        </w:rPr>
      </w:pPr>
      <w:r>
        <w:rPr>
          <w:rFonts w:ascii="CG Times" w:hAnsi="CG Times"/>
          <w:sz w:val="26"/>
          <w:szCs w:val="26"/>
        </w:rPr>
        <w:t>- ***</w:t>
      </w:r>
      <w:r>
        <w:rPr>
          <w:rFonts w:ascii="CG Times" w:hAnsi="CG Times"/>
          <w:i/>
          <w:sz w:val="26"/>
          <w:szCs w:val="26"/>
        </w:rPr>
        <w:t>jóvenes</w:t>
      </w:r>
      <w:r>
        <w:rPr>
          <w:rFonts w:ascii="CG Times" w:hAnsi="CG Times"/>
          <w:sz w:val="26"/>
          <w:szCs w:val="26"/>
        </w:rPr>
        <w:t xml:space="preserve"> Que es menor de 35 años ***</w:t>
      </w:r>
      <w:r>
        <w:rPr>
          <w:rFonts w:ascii="CG Times" w:hAnsi="CG Times"/>
          <w:i/>
          <w:sz w:val="26"/>
          <w:szCs w:val="26"/>
        </w:rPr>
        <w:t xml:space="preserve">discapacitados </w:t>
      </w:r>
      <w:r>
        <w:rPr>
          <w:rFonts w:ascii="CG Times" w:hAnsi="CG Times"/>
          <w:sz w:val="26"/>
          <w:szCs w:val="26"/>
        </w:rPr>
        <w:t>Que tiene</w:t>
      </w:r>
      <w:r>
        <w:rPr>
          <w:rFonts w:ascii="CG Times" w:hAnsi="CG Times"/>
          <w:i/>
          <w:sz w:val="26"/>
          <w:szCs w:val="26"/>
        </w:rPr>
        <w:t xml:space="preserve"> </w:t>
      </w:r>
      <w:r>
        <w:rPr>
          <w:spacing w:val="6"/>
          <w:sz w:val="26"/>
          <w:szCs w:val="26"/>
        </w:rPr>
        <w:t>un grado de discapacidad igual o superior al 65%</w:t>
      </w:r>
      <w:r>
        <w:rPr>
          <w:rFonts w:ascii="CG Times" w:hAnsi="CG Times"/>
          <w:sz w:val="26"/>
          <w:szCs w:val="26"/>
        </w:rPr>
        <w:t xml:space="preserve">; </w:t>
      </w:r>
      <w:r>
        <w:rPr>
          <w:spacing w:val="6"/>
          <w:sz w:val="26"/>
          <w:szCs w:val="26"/>
        </w:rPr>
        <w:t>que su renta no supera 4,5 veces el Indicador Público de Renta de Efectos Múltiples (IPREM)</w:t>
      </w:r>
      <w:r>
        <w:rPr>
          <w:rFonts w:ascii="CG Times" w:hAnsi="CG Times"/>
          <w:sz w:val="26"/>
          <w:szCs w:val="26"/>
        </w:rPr>
        <w:t>; y que tiene residencia fiscal asturiana por haber permanecido un mayor número de días en el territorio de esta Comunidad durante los 5 años inmediatos anteriores.</w:t>
      </w:r>
    </w:p>
    <w:p w14:paraId="4C277E35" w14:textId="77777777" w:rsidR="00EE1145" w:rsidRDefault="00EE1145" w:rsidP="00C65974">
      <w:pPr>
        <w:spacing w:after="60"/>
        <w:ind w:left="1797"/>
        <w:jc w:val="both"/>
        <w:rPr>
          <w:rFonts w:ascii="CG Times" w:hAnsi="CG Times"/>
          <w:sz w:val="26"/>
          <w:szCs w:val="26"/>
        </w:rPr>
      </w:pPr>
      <w:r>
        <w:rPr>
          <w:rFonts w:ascii="CG Times" w:hAnsi="CG Times"/>
          <w:sz w:val="26"/>
          <w:szCs w:val="26"/>
        </w:rPr>
        <w:t>- Que el inmueble adquirido radica en Asturias, tiene la consideración de protegida conforme a la normativa estatal o autonómica, y se destinará a su primera vivienda habitual al menos 5 años".</w:t>
      </w:r>
    </w:p>
    <w:p w14:paraId="2221A3AD" w14:textId="77777777" w:rsidR="00EE1145" w:rsidRDefault="00EE1145" w:rsidP="00C854F8">
      <w:pPr>
        <w:numPr>
          <w:ilvl w:val="1"/>
          <w:numId w:val="15"/>
        </w:numPr>
        <w:tabs>
          <w:tab w:val="clear" w:pos="792"/>
          <w:tab w:val="num" w:pos="432"/>
        </w:tabs>
        <w:jc w:val="both"/>
        <w:rPr>
          <w:b/>
          <w:color w:val="000000"/>
          <w:spacing w:val="6"/>
          <w:sz w:val="22"/>
          <w:szCs w:val="22"/>
        </w:rPr>
      </w:pPr>
      <w:bookmarkStart w:id="148" w:name="C2"/>
      <w:bookmarkStart w:id="149" w:name="C3"/>
      <w:bookmarkStart w:id="150" w:name="C5"/>
      <w:bookmarkStart w:id="151" w:name="C6"/>
      <w:bookmarkEnd w:id="148"/>
      <w:bookmarkEnd w:id="149"/>
      <w:bookmarkEnd w:id="150"/>
      <w:bookmarkEnd w:id="151"/>
      <w:r>
        <w:rPr>
          <w:b/>
          <w:color w:val="000000"/>
          <w:spacing w:val="6"/>
          <w:sz w:val="26"/>
          <w:szCs w:val="26"/>
        </w:rPr>
        <w:t>Cuota íntegra</w:t>
      </w:r>
    </w:p>
    <w:p w14:paraId="7F90F750" w14:textId="77777777" w:rsidR="00EE1145" w:rsidRDefault="00EE1145" w:rsidP="0049149F">
      <w:pPr>
        <w:ind w:left="792"/>
        <w:jc w:val="both"/>
        <w:rPr>
          <w:color w:val="000000"/>
          <w:spacing w:val="6"/>
          <w:sz w:val="26"/>
          <w:szCs w:val="26"/>
        </w:rPr>
      </w:pPr>
      <w:r>
        <w:rPr>
          <w:color w:val="000000"/>
          <w:spacing w:val="6"/>
          <w:sz w:val="26"/>
          <w:szCs w:val="26"/>
        </w:rPr>
        <w:t xml:space="preserve">Se aplica la tarifa general del </w:t>
      </w:r>
      <w:hyperlink r:id="rId237" w:anchor="a21" w:history="1">
        <w:r>
          <w:rPr>
            <w:rStyle w:val="Hipervnculo"/>
            <w:spacing w:val="6"/>
            <w:sz w:val="26"/>
            <w:szCs w:val="26"/>
          </w:rPr>
          <w:t>art. 21-1 del D-le asturiano 2/2014</w:t>
        </w:r>
      </w:hyperlink>
      <w:r>
        <w:rPr>
          <w:color w:val="000000"/>
          <w:spacing w:val="6"/>
          <w:sz w:val="26"/>
          <w:szCs w:val="26"/>
        </w:rPr>
        <w:t>.</w:t>
      </w:r>
    </w:p>
    <w:p w14:paraId="776CC599" w14:textId="77777777" w:rsidR="00EE1145" w:rsidRDefault="00EE1145">
      <w:pPr>
        <w:spacing w:line="280" w:lineRule="atLeast"/>
        <w:ind w:left="792"/>
        <w:jc w:val="both"/>
        <w:rPr>
          <w:color w:val="000000"/>
          <w:spacing w:val="6"/>
          <w:sz w:val="26"/>
          <w:szCs w:val="26"/>
        </w:rPr>
      </w:pPr>
    </w:p>
    <w:tbl>
      <w:tblPr>
        <w:tblW w:w="7087" w:type="dxa"/>
        <w:tblCellSpacing w:w="0" w:type="dxa"/>
        <w:tblInd w:w="1478"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1835"/>
        <w:gridCol w:w="1567"/>
        <w:gridCol w:w="2268"/>
        <w:gridCol w:w="1417"/>
      </w:tblGrid>
      <w:tr w:rsidR="00EE1145" w14:paraId="279428E1"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center"/>
          </w:tcPr>
          <w:p w14:paraId="22E5836F"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lastRenderedPageBreak/>
              <w:t>Base liquidable €</w:t>
            </w:r>
          </w:p>
        </w:tc>
        <w:tc>
          <w:tcPr>
            <w:tcW w:w="1567" w:type="dxa"/>
            <w:tcBorders>
              <w:top w:val="outset" w:sz="6" w:space="0" w:color="auto"/>
              <w:left w:val="outset" w:sz="6" w:space="0" w:color="auto"/>
              <w:bottom w:val="outset" w:sz="6" w:space="0" w:color="auto"/>
              <w:right w:val="outset" w:sz="6" w:space="0" w:color="auto"/>
            </w:tcBorders>
            <w:vAlign w:val="center"/>
          </w:tcPr>
          <w:p w14:paraId="59EFEEBF"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Cuota íntegra €</w:t>
            </w:r>
          </w:p>
        </w:tc>
        <w:tc>
          <w:tcPr>
            <w:tcW w:w="2268" w:type="dxa"/>
            <w:tcBorders>
              <w:top w:val="outset" w:sz="6" w:space="0" w:color="auto"/>
              <w:left w:val="outset" w:sz="6" w:space="0" w:color="auto"/>
              <w:bottom w:val="outset" w:sz="6" w:space="0" w:color="auto"/>
              <w:right w:val="outset" w:sz="6" w:space="0" w:color="auto"/>
            </w:tcBorders>
            <w:vAlign w:val="center"/>
          </w:tcPr>
          <w:p w14:paraId="64A702C8"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Resto base liquidable €</w:t>
            </w:r>
          </w:p>
        </w:tc>
        <w:tc>
          <w:tcPr>
            <w:tcW w:w="1417" w:type="dxa"/>
            <w:tcBorders>
              <w:top w:val="outset" w:sz="6" w:space="0" w:color="auto"/>
              <w:left w:val="outset" w:sz="6" w:space="0" w:color="auto"/>
              <w:bottom w:val="outset" w:sz="6" w:space="0" w:color="auto"/>
              <w:right w:val="outset" w:sz="6" w:space="0" w:color="auto"/>
            </w:tcBorders>
            <w:vAlign w:val="center"/>
          </w:tcPr>
          <w:p w14:paraId="762293FC"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Tipo aplicable</w:t>
            </w:r>
          </w:p>
        </w:tc>
      </w:tr>
      <w:tr w:rsidR="00EE1145" w14:paraId="773E829C"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79F0FCCD"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0,00</w:t>
            </w:r>
          </w:p>
        </w:tc>
        <w:tc>
          <w:tcPr>
            <w:tcW w:w="1567" w:type="dxa"/>
            <w:tcBorders>
              <w:top w:val="outset" w:sz="6" w:space="0" w:color="auto"/>
              <w:left w:val="outset" w:sz="6" w:space="0" w:color="auto"/>
              <w:bottom w:val="outset" w:sz="6" w:space="0" w:color="auto"/>
              <w:right w:val="outset" w:sz="6" w:space="0" w:color="auto"/>
            </w:tcBorders>
            <w:vAlign w:val="bottom"/>
          </w:tcPr>
          <w:p w14:paraId="2D1F461A"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0,00</w:t>
            </w:r>
          </w:p>
        </w:tc>
        <w:tc>
          <w:tcPr>
            <w:tcW w:w="2268" w:type="dxa"/>
            <w:tcBorders>
              <w:top w:val="outset" w:sz="6" w:space="0" w:color="auto"/>
              <w:left w:val="outset" w:sz="6" w:space="0" w:color="auto"/>
              <w:bottom w:val="outset" w:sz="6" w:space="0" w:color="auto"/>
              <w:right w:val="outset" w:sz="6" w:space="0" w:color="auto"/>
            </w:tcBorders>
            <w:vAlign w:val="bottom"/>
          </w:tcPr>
          <w:p w14:paraId="23D11037"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2667CD5F"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7,65%</w:t>
            </w:r>
          </w:p>
        </w:tc>
      </w:tr>
      <w:tr w:rsidR="00EE1145" w14:paraId="68D0553A"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3425975B"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567" w:type="dxa"/>
            <w:tcBorders>
              <w:top w:val="outset" w:sz="6" w:space="0" w:color="auto"/>
              <w:left w:val="outset" w:sz="6" w:space="0" w:color="auto"/>
              <w:bottom w:val="outset" w:sz="6" w:space="0" w:color="auto"/>
              <w:right w:val="outset" w:sz="6" w:space="0" w:color="auto"/>
            </w:tcBorders>
            <w:vAlign w:val="bottom"/>
          </w:tcPr>
          <w:p w14:paraId="212C3B21"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612</w:t>
            </w:r>
          </w:p>
        </w:tc>
        <w:tc>
          <w:tcPr>
            <w:tcW w:w="2268" w:type="dxa"/>
            <w:tcBorders>
              <w:top w:val="outset" w:sz="6" w:space="0" w:color="auto"/>
              <w:left w:val="outset" w:sz="6" w:space="0" w:color="auto"/>
              <w:bottom w:val="outset" w:sz="6" w:space="0" w:color="auto"/>
              <w:right w:val="outset" w:sz="6" w:space="0" w:color="auto"/>
            </w:tcBorders>
            <w:vAlign w:val="bottom"/>
          </w:tcPr>
          <w:p w14:paraId="38E515E3"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47858872"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8,50%</w:t>
            </w:r>
          </w:p>
        </w:tc>
      </w:tr>
      <w:tr w:rsidR="00EE1145" w14:paraId="12B569B6"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1B628DC8"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16.000</w:t>
            </w:r>
          </w:p>
        </w:tc>
        <w:tc>
          <w:tcPr>
            <w:tcW w:w="1567" w:type="dxa"/>
            <w:tcBorders>
              <w:top w:val="outset" w:sz="6" w:space="0" w:color="auto"/>
              <w:left w:val="outset" w:sz="6" w:space="0" w:color="auto"/>
              <w:bottom w:val="outset" w:sz="6" w:space="0" w:color="auto"/>
              <w:right w:val="outset" w:sz="6" w:space="0" w:color="auto"/>
            </w:tcBorders>
            <w:vAlign w:val="bottom"/>
          </w:tcPr>
          <w:p w14:paraId="2EE5E0DD"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1.292</w:t>
            </w:r>
          </w:p>
        </w:tc>
        <w:tc>
          <w:tcPr>
            <w:tcW w:w="2268" w:type="dxa"/>
            <w:tcBorders>
              <w:top w:val="outset" w:sz="6" w:space="0" w:color="auto"/>
              <w:left w:val="outset" w:sz="6" w:space="0" w:color="auto"/>
              <w:bottom w:val="outset" w:sz="6" w:space="0" w:color="auto"/>
              <w:right w:val="outset" w:sz="6" w:space="0" w:color="auto"/>
            </w:tcBorders>
            <w:vAlign w:val="bottom"/>
          </w:tcPr>
          <w:p w14:paraId="43F04265"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732FFACC"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9,35%</w:t>
            </w:r>
          </w:p>
        </w:tc>
      </w:tr>
      <w:tr w:rsidR="00EE1145" w14:paraId="46B83BB3"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54A5197F"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24.000</w:t>
            </w:r>
          </w:p>
        </w:tc>
        <w:tc>
          <w:tcPr>
            <w:tcW w:w="1567" w:type="dxa"/>
            <w:tcBorders>
              <w:top w:val="outset" w:sz="6" w:space="0" w:color="auto"/>
              <w:left w:val="outset" w:sz="6" w:space="0" w:color="auto"/>
              <w:bottom w:val="outset" w:sz="6" w:space="0" w:color="auto"/>
              <w:right w:val="outset" w:sz="6" w:space="0" w:color="auto"/>
            </w:tcBorders>
            <w:vAlign w:val="bottom"/>
          </w:tcPr>
          <w:p w14:paraId="5CD007AF"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2.040</w:t>
            </w:r>
          </w:p>
        </w:tc>
        <w:tc>
          <w:tcPr>
            <w:tcW w:w="2268" w:type="dxa"/>
            <w:tcBorders>
              <w:top w:val="outset" w:sz="6" w:space="0" w:color="auto"/>
              <w:left w:val="outset" w:sz="6" w:space="0" w:color="auto"/>
              <w:bottom w:val="outset" w:sz="6" w:space="0" w:color="auto"/>
              <w:right w:val="outset" w:sz="6" w:space="0" w:color="auto"/>
            </w:tcBorders>
            <w:vAlign w:val="bottom"/>
          </w:tcPr>
          <w:p w14:paraId="33C3A9A7"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745046C7"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10,20%</w:t>
            </w:r>
          </w:p>
        </w:tc>
      </w:tr>
      <w:tr w:rsidR="00EE1145" w14:paraId="27B1EBCF"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24D7222A"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32.000</w:t>
            </w:r>
          </w:p>
        </w:tc>
        <w:tc>
          <w:tcPr>
            <w:tcW w:w="1567" w:type="dxa"/>
            <w:tcBorders>
              <w:top w:val="outset" w:sz="6" w:space="0" w:color="auto"/>
              <w:left w:val="outset" w:sz="6" w:space="0" w:color="auto"/>
              <w:bottom w:val="outset" w:sz="6" w:space="0" w:color="auto"/>
              <w:right w:val="outset" w:sz="6" w:space="0" w:color="auto"/>
            </w:tcBorders>
            <w:vAlign w:val="bottom"/>
          </w:tcPr>
          <w:p w14:paraId="6C465A74"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2.856</w:t>
            </w:r>
          </w:p>
        </w:tc>
        <w:tc>
          <w:tcPr>
            <w:tcW w:w="2268" w:type="dxa"/>
            <w:tcBorders>
              <w:top w:val="outset" w:sz="6" w:space="0" w:color="auto"/>
              <w:left w:val="outset" w:sz="6" w:space="0" w:color="auto"/>
              <w:bottom w:val="outset" w:sz="6" w:space="0" w:color="auto"/>
              <w:right w:val="outset" w:sz="6" w:space="0" w:color="auto"/>
            </w:tcBorders>
            <w:vAlign w:val="bottom"/>
          </w:tcPr>
          <w:p w14:paraId="620912FE"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112A880C"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11,05%</w:t>
            </w:r>
          </w:p>
        </w:tc>
      </w:tr>
      <w:tr w:rsidR="00EE1145" w14:paraId="067D6BF3"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6FB0278F"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40.000</w:t>
            </w:r>
          </w:p>
        </w:tc>
        <w:tc>
          <w:tcPr>
            <w:tcW w:w="1567" w:type="dxa"/>
            <w:tcBorders>
              <w:top w:val="outset" w:sz="6" w:space="0" w:color="auto"/>
              <w:left w:val="outset" w:sz="6" w:space="0" w:color="auto"/>
              <w:bottom w:val="outset" w:sz="6" w:space="0" w:color="auto"/>
              <w:right w:val="outset" w:sz="6" w:space="0" w:color="auto"/>
            </w:tcBorders>
            <w:vAlign w:val="bottom"/>
          </w:tcPr>
          <w:p w14:paraId="53EA7E1A"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3.740</w:t>
            </w:r>
          </w:p>
        </w:tc>
        <w:tc>
          <w:tcPr>
            <w:tcW w:w="2268" w:type="dxa"/>
            <w:tcBorders>
              <w:top w:val="outset" w:sz="6" w:space="0" w:color="auto"/>
              <w:left w:val="outset" w:sz="6" w:space="0" w:color="auto"/>
              <w:bottom w:val="outset" w:sz="6" w:space="0" w:color="auto"/>
              <w:right w:val="outset" w:sz="6" w:space="0" w:color="auto"/>
            </w:tcBorders>
            <w:vAlign w:val="bottom"/>
          </w:tcPr>
          <w:p w14:paraId="65F48DAD"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71EC04B4"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11,90%</w:t>
            </w:r>
          </w:p>
        </w:tc>
      </w:tr>
      <w:tr w:rsidR="00EE1145" w14:paraId="5F1D2226"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14A2F4D0"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48.000</w:t>
            </w:r>
          </w:p>
        </w:tc>
        <w:tc>
          <w:tcPr>
            <w:tcW w:w="1567" w:type="dxa"/>
            <w:tcBorders>
              <w:top w:val="outset" w:sz="6" w:space="0" w:color="auto"/>
              <w:left w:val="outset" w:sz="6" w:space="0" w:color="auto"/>
              <w:bottom w:val="outset" w:sz="6" w:space="0" w:color="auto"/>
              <w:right w:val="outset" w:sz="6" w:space="0" w:color="auto"/>
            </w:tcBorders>
            <w:vAlign w:val="bottom"/>
          </w:tcPr>
          <w:p w14:paraId="4A96977E"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4.692</w:t>
            </w:r>
          </w:p>
        </w:tc>
        <w:tc>
          <w:tcPr>
            <w:tcW w:w="2268" w:type="dxa"/>
            <w:tcBorders>
              <w:top w:val="outset" w:sz="6" w:space="0" w:color="auto"/>
              <w:left w:val="outset" w:sz="6" w:space="0" w:color="auto"/>
              <w:bottom w:val="outset" w:sz="6" w:space="0" w:color="auto"/>
              <w:right w:val="outset" w:sz="6" w:space="0" w:color="auto"/>
            </w:tcBorders>
            <w:vAlign w:val="bottom"/>
          </w:tcPr>
          <w:p w14:paraId="0E3EA501"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144CBDE1"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12,75%</w:t>
            </w:r>
          </w:p>
        </w:tc>
      </w:tr>
      <w:tr w:rsidR="00EE1145" w14:paraId="0315166A"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7BB3FB98"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56.000</w:t>
            </w:r>
          </w:p>
        </w:tc>
        <w:tc>
          <w:tcPr>
            <w:tcW w:w="1567" w:type="dxa"/>
            <w:tcBorders>
              <w:top w:val="outset" w:sz="6" w:space="0" w:color="auto"/>
              <w:left w:val="outset" w:sz="6" w:space="0" w:color="auto"/>
              <w:bottom w:val="outset" w:sz="6" w:space="0" w:color="auto"/>
              <w:right w:val="outset" w:sz="6" w:space="0" w:color="auto"/>
            </w:tcBorders>
            <w:vAlign w:val="bottom"/>
          </w:tcPr>
          <w:p w14:paraId="42C7F6B9"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5.712</w:t>
            </w:r>
          </w:p>
        </w:tc>
        <w:tc>
          <w:tcPr>
            <w:tcW w:w="2268" w:type="dxa"/>
            <w:tcBorders>
              <w:top w:val="outset" w:sz="6" w:space="0" w:color="auto"/>
              <w:left w:val="outset" w:sz="6" w:space="0" w:color="auto"/>
              <w:bottom w:val="outset" w:sz="6" w:space="0" w:color="auto"/>
              <w:right w:val="outset" w:sz="6" w:space="0" w:color="auto"/>
            </w:tcBorders>
            <w:vAlign w:val="bottom"/>
          </w:tcPr>
          <w:p w14:paraId="0C50DE78"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15734B1B"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13,60%</w:t>
            </w:r>
          </w:p>
        </w:tc>
      </w:tr>
      <w:tr w:rsidR="00EE1145" w14:paraId="50381EE5"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5B099E8C"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64.000</w:t>
            </w:r>
          </w:p>
        </w:tc>
        <w:tc>
          <w:tcPr>
            <w:tcW w:w="1567" w:type="dxa"/>
            <w:tcBorders>
              <w:top w:val="outset" w:sz="6" w:space="0" w:color="auto"/>
              <w:left w:val="outset" w:sz="6" w:space="0" w:color="auto"/>
              <w:bottom w:val="outset" w:sz="6" w:space="0" w:color="auto"/>
              <w:right w:val="outset" w:sz="6" w:space="0" w:color="auto"/>
            </w:tcBorders>
            <w:vAlign w:val="bottom"/>
          </w:tcPr>
          <w:p w14:paraId="1B1449FD"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6.800</w:t>
            </w:r>
          </w:p>
        </w:tc>
        <w:tc>
          <w:tcPr>
            <w:tcW w:w="2268" w:type="dxa"/>
            <w:tcBorders>
              <w:top w:val="outset" w:sz="6" w:space="0" w:color="auto"/>
              <w:left w:val="outset" w:sz="6" w:space="0" w:color="auto"/>
              <w:bottom w:val="outset" w:sz="6" w:space="0" w:color="auto"/>
              <w:right w:val="outset" w:sz="6" w:space="0" w:color="auto"/>
            </w:tcBorders>
            <w:vAlign w:val="bottom"/>
          </w:tcPr>
          <w:p w14:paraId="74673351"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3628A469"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14,45%</w:t>
            </w:r>
          </w:p>
        </w:tc>
      </w:tr>
      <w:tr w:rsidR="00EE1145" w14:paraId="0A593527"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14060D5D"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72.000</w:t>
            </w:r>
          </w:p>
        </w:tc>
        <w:tc>
          <w:tcPr>
            <w:tcW w:w="1567" w:type="dxa"/>
            <w:tcBorders>
              <w:top w:val="outset" w:sz="6" w:space="0" w:color="auto"/>
              <w:left w:val="outset" w:sz="6" w:space="0" w:color="auto"/>
              <w:bottom w:val="outset" w:sz="6" w:space="0" w:color="auto"/>
              <w:right w:val="outset" w:sz="6" w:space="0" w:color="auto"/>
            </w:tcBorders>
            <w:vAlign w:val="bottom"/>
          </w:tcPr>
          <w:p w14:paraId="473B57EA"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7.956</w:t>
            </w:r>
          </w:p>
        </w:tc>
        <w:tc>
          <w:tcPr>
            <w:tcW w:w="2268" w:type="dxa"/>
            <w:tcBorders>
              <w:top w:val="outset" w:sz="6" w:space="0" w:color="auto"/>
              <w:left w:val="outset" w:sz="6" w:space="0" w:color="auto"/>
              <w:bottom w:val="outset" w:sz="6" w:space="0" w:color="auto"/>
              <w:right w:val="outset" w:sz="6" w:space="0" w:color="auto"/>
            </w:tcBorders>
            <w:vAlign w:val="bottom"/>
          </w:tcPr>
          <w:p w14:paraId="4AA88F83"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3F9676D2"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15,30%</w:t>
            </w:r>
          </w:p>
        </w:tc>
      </w:tr>
      <w:tr w:rsidR="00EE1145" w14:paraId="7B774249"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1B58CAFF"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80.000</w:t>
            </w:r>
          </w:p>
        </w:tc>
        <w:tc>
          <w:tcPr>
            <w:tcW w:w="1567" w:type="dxa"/>
            <w:tcBorders>
              <w:top w:val="outset" w:sz="6" w:space="0" w:color="auto"/>
              <w:left w:val="outset" w:sz="6" w:space="0" w:color="auto"/>
              <w:bottom w:val="outset" w:sz="6" w:space="0" w:color="auto"/>
              <w:right w:val="outset" w:sz="6" w:space="0" w:color="auto"/>
            </w:tcBorders>
            <w:vAlign w:val="bottom"/>
          </w:tcPr>
          <w:p w14:paraId="38706A76"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9.180</w:t>
            </w:r>
          </w:p>
        </w:tc>
        <w:tc>
          <w:tcPr>
            <w:tcW w:w="2268" w:type="dxa"/>
            <w:tcBorders>
              <w:top w:val="outset" w:sz="6" w:space="0" w:color="auto"/>
              <w:left w:val="outset" w:sz="6" w:space="0" w:color="auto"/>
              <w:bottom w:val="outset" w:sz="6" w:space="0" w:color="auto"/>
              <w:right w:val="outset" w:sz="6" w:space="0" w:color="auto"/>
            </w:tcBorders>
            <w:vAlign w:val="bottom"/>
          </w:tcPr>
          <w:p w14:paraId="4BB0F1D4"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40.000</w:t>
            </w:r>
          </w:p>
        </w:tc>
        <w:tc>
          <w:tcPr>
            <w:tcW w:w="1417" w:type="dxa"/>
            <w:tcBorders>
              <w:top w:val="outset" w:sz="6" w:space="0" w:color="auto"/>
              <w:left w:val="outset" w:sz="6" w:space="0" w:color="auto"/>
              <w:bottom w:val="outset" w:sz="6" w:space="0" w:color="auto"/>
              <w:right w:val="outset" w:sz="6" w:space="0" w:color="auto"/>
            </w:tcBorders>
            <w:vAlign w:val="bottom"/>
          </w:tcPr>
          <w:p w14:paraId="5E3A3E5C"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16,15%</w:t>
            </w:r>
          </w:p>
        </w:tc>
      </w:tr>
      <w:tr w:rsidR="00EE1145" w14:paraId="30EFA6C9"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2936D5D2"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120.000</w:t>
            </w:r>
          </w:p>
        </w:tc>
        <w:tc>
          <w:tcPr>
            <w:tcW w:w="1567" w:type="dxa"/>
            <w:tcBorders>
              <w:top w:val="outset" w:sz="6" w:space="0" w:color="auto"/>
              <w:left w:val="outset" w:sz="6" w:space="0" w:color="auto"/>
              <w:bottom w:val="outset" w:sz="6" w:space="0" w:color="auto"/>
              <w:right w:val="outset" w:sz="6" w:space="0" w:color="auto"/>
            </w:tcBorders>
            <w:vAlign w:val="bottom"/>
          </w:tcPr>
          <w:p w14:paraId="37B590F6"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15.640</w:t>
            </w:r>
          </w:p>
        </w:tc>
        <w:tc>
          <w:tcPr>
            <w:tcW w:w="2268" w:type="dxa"/>
            <w:tcBorders>
              <w:top w:val="outset" w:sz="6" w:space="0" w:color="auto"/>
              <w:left w:val="outset" w:sz="6" w:space="0" w:color="auto"/>
              <w:bottom w:val="outset" w:sz="6" w:space="0" w:color="auto"/>
              <w:right w:val="outset" w:sz="6" w:space="0" w:color="auto"/>
            </w:tcBorders>
            <w:vAlign w:val="bottom"/>
          </w:tcPr>
          <w:p w14:paraId="4B8705A2"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40.000</w:t>
            </w:r>
          </w:p>
        </w:tc>
        <w:tc>
          <w:tcPr>
            <w:tcW w:w="1417" w:type="dxa"/>
            <w:tcBorders>
              <w:top w:val="outset" w:sz="6" w:space="0" w:color="auto"/>
              <w:left w:val="outset" w:sz="6" w:space="0" w:color="auto"/>
              <w:bottom w:val="outset" w:sz="6" w:space="0" w:color="auto"/>
              <w:right w:val="outset" w:sz="6" w:space="0" w:color="auto"/>
            </w:tcBorders>
            <w:vAlign w:val="bottom"/>
          </w:tcPr>
          <w:p w14:paraId="15EFF0A5"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18,70%</w:t>
            </w:r>
          </w:p>
        </w:tc>
      </w:tr>
      <w:tr w:rsidR="00EE1145" w14:paraId="0300C427"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74DE3360"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160.000</w:t>
            </w:r>
          </w:p>
        </w:tc>
        <w:tc>
          <w:tcPr>
            <w:tcW w:w="1567" w:type="dxa"/>
            <w:tcBorders>
              <w:top w:val="outset" w:sz="6" w:space="0" w:color="auto"/>
              <w:left w:val="outset" w:sz="6" w:space="0" w:color="auto"/>
              <w:bottom w:val="outset" w:sz="6" w:space="0" w:color="auto"/>
              <w:right w:val="outset" w:sz="6" w:space="0" w:color="auto"/>
            </w:tcBorders>
            <w:vAlign w:val="bottom"/>
          </w:tcPr>
          <w:p w14:paraId="0B65D939"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23.120</w:t>
            </w:r>
          </w:p>
        </w:tc>
        <w:tc>
          <w:tcPr>
            <w:tcW w:w="2268" w:type="dxa"/>
            <w:tcBorders>
              <w:top w:val="outset" w:sz="6" w:space="0" w:color="auto"/>
              <w:left w:val="outset" w:sz="6" w:space="0" w:color="auto"/>
              <w:bottom w:val="outset" w:sz="6" w:space="0" w:color="auto"/>
              <w:right w:val="outset" w:sz="6" w:space="0" w:color="auto"/>
            </w:tcBorders>
            <w:vAlign w:val="bottom"/>
          </w:tcPr>
          <w:p w14:paraId="5D4B102F"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80.000</w:t>
            </w:r>
          </w:p>
        </w:tc>
        <w:tc>
          <w:tcPr>
            <w:tcW w:w="1417" w:type="dxa"/>
            <w:tcBorders>
              <w:top w:val="outset" w:sz="6" w:space="0" w:color="auto"/>
              <w:left w:val="outset" w:sz="6" w:space="0" w:color="auto"/>
              <w:bottom w:val="outset" w:sz="6" w:space="0" w:color="auto"/>
              <w:right w:val="outset" w:sz="6" w:space="0" w:color="auto"/>
            </w:tcBorders>
            <w:vAlign w:val="bottom"/>
          </w:tcPr>
          <w:p w14:paraId="23B8C8EC"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21,25%</w:t>
            </w:r>
          </w:p>
        </w:tc>
      </w:tr>
      <w:tr w:rsidR="00EE1145" w14:paraId="4E8238C5"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4F71CB68"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240.000</w:t>
            </w:r>
          </w:p>
        </w:tc>
        <w:tc>
          <w:tcPr>
            <w:tcW w:w="1567" w:type="dxa"/>
            <w:tcBorders>
              <w:top w:val="outset" w:sz="6" w:space="0" w:color="auto"/>
              <w:left w:val="outset" w:sz="6" w:space="0" w:color="auto"/>
              <w:bottom w:val="outset" w:sz="6" w:space="0" w:color="auto"/>
              <w:right w:val="outset" w:sz="6" w:space="0" w:color="auto"/>
            </w:tcBorders>
            <w:vAlign w:val="bottom"/>
          </w:tcPr>
          <w:p w14:paraId="5B953A4F"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40.120</w:t>
            </w:r>
          </w:p>
        </w:tc>
        <w:tc>
          <w:tcPr>
            <w:tcW w:w="2268" w:type="dxa"/>
            <w:tcBorders>
              <w:top w:val="outset" w:sz="6" w:space="0" w:color="auto"/>
              <w:left w:val="outset" w:sz="6" w:space="0" w:color="auto"/>
              <w:bottom w:val="outset" w:sz="6" w:space="0" w:color="auto"/>
              <w:right w:val="outset" w:sz="6" w:space="0" w:color="auto"/>
            </w:tcBorders>
            <w:vAlign w:val="bottom"/>
          </w:tcPr>
          <w:p w14:paraId="06EADE44"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160.000</w:t>
            </w:r>
          </w:p>
        </w:tc>
        <w:tc>
          <w:tcPr>
            <w:tcW w:w="1417" w:type="dxa"/>
            <w:tcBorders>
              <w:top w:val="outset" w:sz="6" w:space="0" w:color="auto"/>
              <w:left w:val="outset" w:sz="6" w:space="0" w:color="auto"/>
              <w:bottom w:val="outset" w:sz="6" w:space="0" w:color="auto"/>
              <w:right w:val="outset" w:sz="6" w:space="0" w:color="auto"/>
            </w:tcBorders>
            <w:vAlign w:val="bottom"/>
          </w:tcPr>
          <w:p w14:paraId="7B5D89F3"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25,50%</w:t>
            </w:r>
          </w:p>
        </w:tc>
      </w:tr>
      <w:tr w:rsidR="00EE1145" w14:paraId="1C10516E"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74C8C364"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400.000</w:t>
            </w:r>
          </w:p>
        </w:tc>
        <w:tc>
          <w:tcPr>
            <w:tcW w:w="1567" w:type="dxa"/>
            <w:tcBorders>
              <w:top w:val="outset" w:sz="6" w:space="0" w:color="auto"/>
              <w:left w:val="outset" w:sz="6" w:space="0" w:color="auto"/>
              <w:bottom w:val="outset" w:sz="6" w:space="0" w:color="auto"/>
              <w:right w:val="outset" w:sz="6" w:space="0" w:color="auto"/>
            </w:tcBorders>
            <w:vAlign w:val="bottom"/>
          </w:tcPr>
          <w:p w14:paraId="54FCCDC3"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80.920</w:t>
            </w:r>
          </w:p>
        </w:tc>
        <w:tc>
          <w:tcPr>
            <w:tcW w:w="2268" w:type="dxa"/>
            <w:tcBorders>
              <w:top w:val="outset" w:sz="6" w:space="0" w:color="auto"/>
              <w:left w:val="outset" w:sz="6" w:space="0" w:color="auto"/>
              <w:bottom w:val="outset" w:sz="6" w:space="0" w:color="auto"/>
              <w:right w:val="outset" w:sz="6" w:space="0" w:color="auto"/>
            </w:tcBorders>
            <w:vAlign w:val="bottom"/>
          </w:tcPr>
          <w:p w14:paraId="016E8431"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400.000</w:t>
            </w:r>
          </w:p>
        </w:tc>
        <w:tc>
          <w:tcPr>
            <w:tcW w:w="1417" w:type="dxa"/>
            <w:tcBorders>
              <w:top w:val="outset" w:sz="6" w:space="0" w:color="auto"/>
              <w:left w:val="outset" w:sz="6" w:space="0" w:color="auto"/>
              <w:bottom w:val="outset" w:sz="6" w:space="0" w:color="auto"/>
              <w:right w:val="outset" w:sz="6" w:space="0" w:color="auto"/>
            </w:tcBorders>
            <w:vAlign w:val="bottom"/>
          </w:tcPr>
          <w:p w14:paraId="07D1F0D2"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31,25%</w:t>
            </w:r>
          </w:p>
        </w:tc>
      </w:tr>
      <w:tr w:rsidR="00EE1145" w14:paraId="28912075"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39109D39"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800.000</w:t>
            </w:r>
          </w:p>
        </w:tc>
        <w:tc>
          <w:tcPr>
            <w:tcW w:w="1567" w:type="dxa"/>
            <w:tcBorders>
              <w:top w:val="outset" w:sz="6" w:space="0" w:color="auto"/>
              <w:left w:val="outset" w:sz="6" w:space="0" w:color="auto"/>
              <w:bottom w:val="outset" w:sz="6" w:space="0" w:color="auto"/>
              <w:right w:val="outset" w:sz="6" w:space="0" w:color="auto"/>
            </w:tcBorders>
            <w:vAlign w:val="bottom"/>
          </w:tcPr>
          <w:p w14:paraId="4D6C7500"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205.920</w:t>
            </w:r>
          </w:p>
        </w:tc>
        <w:tc>
          <w:tcPr>
            <w:tcW w:w="2268" w:type="dxa"/>
            <w:tcBorders>
              <w:top w:val="outset" w:sz="6" w:space="0" w:color="auto"/>
              <w:left w:val="outset" w:sz="6" w:space="0" w:color="auto"/>
              <w:bottom w:val="outset" w:sz="6" w:space="0" w:color="auto"/>
              <w:right w:val="outset" w:sz="6" w:space="0" w:color="auto"/>
            </w:tcBorders>
            <w:vAlign w:val="bottom"/>
          </w:tcPr>
          <w:p w14:paraId="54D168B3"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En adelante</w:t>
            </w:r>
          </w:p>
        </w:tc>
        <w:tc>
          <w:tcPr>
            <w:tcW w:w="1417" w:type="dxa"/>
            <w:tcBorders>
              <w:top w:val="outset" w:sz="6" w:space="0" w:color="auto"/>
              <w:left w:val="outset" w:sz="6" w:space="0" w:color="auto"/>
              <w:bottom w:val="outset" w:sz="6" w:space="0" w:color="auto"/>
              <w:right w:val="outset" w:sz="6" w:space="0" w:color="auto"/>
            </w:tcBorders>
            <w:vAlign w:val="bottom"/>
          </w:tcPr>
          <w:p w14:paraId="00AA83DB"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36,50%</w:t>
            </w:r>
          </w:p>
        </w:tc>
      </w:tr>
    </w:tbl>
    <w:p w14:paraId="6296EF4F" w14:textId="77777777" w:rsidR="00EE1145" w:rsidRDefault="00EE1145" w:rsidP="00EB04B5">
      <w:pPr>
        <w:spacing w:after="60" w:line="280" w:lineRule="atLeast"/>
        <w:ind w:left="794"/>
        <w:jc w:val="both"/>
        <w:rPr>
          <w:color w:val="000000"/>
          <w:spacing w:val="6"/>
          <w:sz w:val="26"/>
          <w:szCs w:val="26"/>
        </w:rPr>
      </w:pPr>
      <w:r>
        <w:rPr>
          <w:color w:val="000000"/>
          <w:spacing w:val="6"/>
          <w:sz w:val="26"/>
          <w:szCs w:val="26"/>
        </w:rPr>
        <w:t xml:space="preserve">Advertir que la tarifa del art. 21-2 para Grupos I y II es sólo para Sucesiones; que la tarifa del art. 21-3 para Grupos I y II es para donaciones a partir del 1 de enero de 2018; y que los coeficientes multiplicadores del art. 22-1 para Grupo I </w:t>
      </w:r>
      <w:r w:rsidR="000A5A69">
        <w:rPr>
          <w:color w:val="000000"/>
          <w:spacing w:val="6"/>
          <w:sz w:val="26"/>
          <w:szCs w:val="26"/>
        </w:rPr>
        <w:t>son</w:t>
      </w:r>
      <w:r>
        <w:rPr>
          <w:color w:val="000000"/>
          <w:spacing w:val="6"/>
          <w:sz w:val="26"/>
          <w:szCs w:val="26"/>
        </w:rPr>
        <w:t xml:space="preserve"> sólo para Sucesiones.</w:t>
      </w:r>
    </w:p>
    <w:p w14:paraId="5367A7FD" w14:textId="77777777" w:rsidR="00547916" w:rsidRPr="005222DF" w:rsidRDefault="00547916" w:rsidP="00C854F8">
      <w:pPr>
        <w:numPr>
          <w:ilvl w:val="1"/>
          <w:numId w:val="15"/>
        </w:numPr>
        <w:tabs>
          <w:tab w:val="clear" w:pos="792"/>
          <w:tab w:val="num" w:pos="432"/>
        </w:tabs>
        <w:spacing w:line="280" w:lineRule="atLeast"/>
        <w:jc w:val="both"/>
        <w:rPr>
          <w:b/>
          <w:color w:val="000000"/>
          <w:spacing w:val="6"/>
          <w:sz w:val="22"/>
          <w:szCs w:val="22"/>
        </w:rPr>
      </w:pPr>
      <w:bookmarkStart w:id="152" w:name="Cuota2018"/>
      <w:bookmarkEnd w:id="152"/>
      <w:r>
        <w:rPr>
          <w:b/>
          <w:color w:val="000000"/>
          <w:spacing w:val="6"/>
          <w:sz w:val="26"/>
          <w:szCs w:val="26"/>
        </w:rPr>
        <w:t>Cuota íntegra Grupos I y II</w:t>
      </w:r>
    </w:p>
    <w:p w14:paraId="4AA487DA" w14:textId="77777777" w:rsidR="005222DF" w:rsidRDefault="005222DF" w:rsidP="00C854F8">
      <w:pPr>
        <w:numPr>
          <w:ilvl w:val="2"/>
          <w:numId w:val="15"/>
        </w:numPr>
        <w:spacing w:line="280" w:lineRule="atLeast"/>
        <w:jc w:val="both"/>
        <w:rPr>
          <w:b/>
          <w:color w:val="000000"/>
          <w:spacing w:val="6"/>
          <w:sz w:val="22"/>
          <w:szCs w:val="22"/>
        </w:rPr>
      </w:pPr>
      <w:bookmarkStart w:id="153" w:name="normativa331"/>
      <w:bookmarkStart w:id="154" w:name="_Hlk155455711"/>
      <w:bookmarkEnd w:id="153"/>
      <w:r>
        <w:rPr>
          <w:b/>
          <w:color w:val="000000"/>
          <w:spacing w:val="6"/>
          <w:sz w:val="26"/>
          <w:szCs w:val="26"/>
        </w:rPr>
        <w:t xml:space="preserve">Normativa </w:t>
      </w:r>
      <w:r w:rsidR="00525670">
        <w:rPr>
          <w:b/>
          <w:color w:val="000000"/>
          <w:spacing w:val="6"/>
          <w:sz w:val="26"/>
          <w:szCs w:val="26"/>
        </w:rPr>
        <w:t>entre 2018 y 2023</w:t>
      </w:r>
    </w:p>
    <w:p w14:paraId="24FC821A" w14:textId="77777777" w:rsidR="00547916" w:rsidRDefault="00321E97" w:rsidP="005222DF">
      <w:pPr>
        <w:spacing w:line="280" w:lineRule="atLeast"/>
        <w:ind w:left="1440"/>
        <w:jc w:val="both"/>
        <w:rPr>
          <w:rFonts w:ascii="Times New Roman" w:hAnsi="Times New Roman"/>
          <w:sz w:val="26"/>
          <w:szCs w:val="26"/>
        </w:rPr>
      </w:pPr>
      <w:bookmarkStart w:id="155" w:name="_Hlk155455746"/>
      <w:bookmarkEnd w:id="154"/>
      <w:r>
        <w:rPr>
          <w:color w:val="000000"/>
          <w:spacing w:val="6"/>
          <w:sz w:val="26"/>
          <w:szCs w:val="26"/>
        </w:rPr>
        <w:t>Segú</w:t>
      </w:r>
      <w:r w:rsidR="003E0E26">
        <w:rPr>
          <w:color w:val="000000"/>
          <w:spacing w:val="6"/>
          <w:sz w:val="26"/>
          <w:szCs w:val="26"/>
        </w:rPr>
        <w:t xml:space="preserve">n el </w:t>
      </w:r>
      <w:hyperlink r:id="rId238" w:anchor="a21" w:history="1">
        <w:r w:rsidR="003E0E26" w:rsidRPr="003E0E26">
          <w:rPr>
            <w:rStyle w:val="Hipervnculo"/>
            <w:spacing w:val="6"/>
            <w:sz w:val="26"/>
            <w:szCs w:val="26"/>
          </w:rPr>
          <w:t>art. 21-3 del Decreto-legislativo asturiano 2/2014</w:t>
        </w:r>
      </w:hyperlink>
      <w:r w:rsidR="003E0E26">
        <w:rPr>
          <w:color w:val="000000"/>
          <w:spacing w:val="6"/>
          <w:sz w:val="26"/>
          <w:szCs w:val="26"/>
        </w:rPr>
        <w:t xml:space="preserve"> (introducido  por la </w:t>
      </w:r>
      <w:hyperlink r:id="rId239" w:history="1">
        <w:r w:rsidR="003E0E26">
          <w:rPr>
            <w:rStyle w:val="Hipervnculo"/>
            <w:rFonts w:ascii="Times New Roman" w:hAnsi="Times New Roman"/>
            <w:sz w:val="26"/>
            <w:szCs w:val="26"/>
          </w:rPr>
          <w:t>Ley 7/2017</w:t>
        </w:r>
      </w:hyperlink>
      <w:r w:rsidR="003E0E26">
        <w:rPr>
          <w:rFonts w:ascii="Times New Roman" w:hAnsi="Times New Roman"/>
          <w:sz w:val="26"/>
          <w:szCs w:val="26"/>
        </w:rPr>
        <w:t>, en vigor</w:t>
      </w:r>
      <w:r w:rsidR="00745334">
        <w:rPr>
          <w:rFonts w:ascii="Times New Roman" w:hAnsi="Times New Roman"/>
          <w:sz w:val="26"/>
          <w:szCs w:val="26"/>
        </w:rPr>
        <w:t xml:space="preserve"> entre </w:t>
      </w:r>
      <w:r w:rsidR="003E0E26">
        <w:rPr>
          <w:rFonts w:ascii="Times New Roman" w:hAnsi="Times New Roman"/>
          <w:sz w:val="26"/>
          <w:szCs w:val="26"/>
        </w:rPr>
        <w:t>el 1 de enero de 2018</w:t>
      </w:r>
      <w:r w:rsidR="00745334">
        <w:rPr>
          <w:rFonts w:ascii="Times New Roman" w:hAnsi="Times New Roman"/>
          <w:sz w:val="26"/>
          <w:szCs w:val="26"/>
        </w:rPr>
        <w:t xml:space="preserve"> y el 31 de diciembre de 2023</w:t>
      </w:r>
      <w:r w:rsidR="003E0E26">
        <w:rPr>
          <w:rFonts w:ascii="Times New Roman" w:hAnsi="Times New Roman"/>
          <w:sz w:val="26"/>
          <w:szCs w:val="26"/>
        </w:rPr>
        <w:t>), en las donaciones en favor de parientes de los Grupos I y II (cónyuge, descendientes y ascendientes), cuyo patrimonio (con exclusión de la vivienda habitual) sea inferior a 402.678,11 €uros y que se formalicen en documento público</w:t>
      </w:r>
      <w:r>
        <w:rPr>
          <w:rFonts w:ascii="Times New Roman" w:hAnsi="Times New Roman"/>
          <w:sz w:val="26"/>
          <w:szCs w:val="26"/>
        </w:rPr>
        <w:t xml:space="preserve"> (antes de la expiración del pla</w:t>
      </w:r>
      <w:r w:rsidR="003E0E26">
        <w:rPr>
          <w:rFonts w:ascii="Times New Roman" w:hAnsi="Times New Roman"/>
          <w:sz w:val="26"/>
          <w:szCs w:val="26"/>
        </w:rPr>
        <w:t>zo de liquidación del impuesto), se aplicar</w:t>
      </w:r>
      <w:r w:rsidR="00342D0B">
        <w:rPr>
          <w:rFonts w:ascii="Times New Roman" w:hAnsi="Times New Roman"/>
          <w:sz w:val="26"/>
          <w:szCs w:val="26"/>
        </w:rPr>
        <w:t>á</w:t>
      </w:r>
      <w:r w:rsidR="003E0E26">
        <w:rPr>
          <w:rFonts w:ascii="Times New Roman" w:hAnsi="Times New Roman"/>
          <w:sz w:val="26"/>
          <w:szCs w:val="26"/>
        </w:rPr>
        <w:t xml:space="preserve"> la siguiente tarifa:</w:t>
      </w:r>
    </w:p>
    <w:bookmarkEnd w:id="155"/>
    <w:p w14:paraId="0617D300" w14:textId="77777777" w:rsidR="000059CC" w:rsidRDefault="000059CC" w:rsidP="005222DF">
      <w:pPr>
        <w:spacing w:line="280" w:lineRule="atLeast"/>
        <w:ind w:left="1440"/>
        <w:jc w:val="both"/>
        <w:rPr>
          <w:rFonts w:ascii="Times New Roman" w:hAnsi="Times New Roman"/>
          <w:sz w:val="26"/>
          <w:szCs w:val="26"/>
        </w:rPr>
      </w:pPr>
    </w:p>
    <w:tbl>
      <w:tblPr>
        <w:tblW w:w="7087" w:type="dxa"/>
        <w:tblCellSpacing w:w="0" w:type="dxa"/>
        <w:tblInd w:w="1648"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1835"/>
        <w:gridCol w:w="1567"/>
        <w:gridCol w:w="2268"/>
        <w:gridCol w:w="1417"/>
      </w:tblGrid>
      <w:tr w:rsidR="000059CC" w14:paraId="111DCC66" w14:textId="77777777" w:rsidTr="003A17C3">
        <w:trPr>
          <w:tblCellSpacing w:w="0" w:type="dxa"/>
        </w:trPr>
        <w:tc>
          <w:tcPr>
            <w:tcW w:w="1835" w:type="dxa"/>
            <w:tcBorders>
              <w:top w:val="outset" w:sz="6" w:space="0" w:color="auto"/>
              <w:left w:val="outset" w:sz="6" w:space="0" w:color="auto"/>
              <w:bottom w:val="outset" w:sz="6" w:space="0" w:color="auto"/>
              <w:right w:val="outset" w:sz="6" w:space="0" w:color="auto"/>
            </w:tcBorders>
            <w:vAlign w:val="center"/>
          </w:tcPr>
          <w:p w14:paraId="5B065947" w14:textId="77777777" w:rsidR="000059CC" w:rsidRDefault="000059CC" w:rsidP="000059CC">
            <w:pPr>
              <w:overflowPunct/>
              <w:autoSpaceDE/>
              <w:autoSpaceDN/>
              <w:adjustRightInd/>
              <w:jc w:val="center"/>
              <w:textAlignment w:val="auto"/>
              <w:rPr>
                <w:rFonts w:ascii="Times New Roman" w:hAnsi="Times New Roman"/>
                <w:sz w:val="22"/>
                <w:szCs w:val="22"/>
                <w:lang w:val="es-ES"/>
              </w:rPr>
            </w:pPr>
            <w:bookmarkStart w:id="156" w:name="_Hlk155455892"/>
            <w:r>
              <w:rPr>
                <w:rFonts w:ascii="Times New Roman" w:hAnsi="Times New Roman"/>
                <w:sz w:val="22"/>
                <w:szCs w:val="22"/>
                <w:lang w:val="es-ES"/>
              </w:rPr>
              <w:t>Base liquidable €</w:t>
            </w:r>
          </w:p>
        </w:tc>
        <w:tc>
          <w:tcPr>
            <w:tcW w:w="1567" w:type="dxa"/>
            <w:tcBorders>
              <w:top w:val="outset" w:sz="6" w:space="0" w:color="auto"/>
              <w:left w:val="outset" w:sz="6" w:space="0" w:color="auto"/>
              <w:bottom w:val="outset" w:sz="6" w:space="0" w:color="auto"/>
              <w:right w:val="outset" w:sz="6" w:space="0" w:color="auto"/>
            </w:tcBorders>
            <w:vAlign w:val="center"/>
          </w:tcPr>
          <w:p w14:paraId="1D9BCE10" w14:textId="77777777" w:rsidR="000059CC" w:rsidRDefault="000059CC" w:rsidP="000059CC">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Cuota íntegra €</w:t>
            </w:r>
          </w:p>
        </w:tc>
        <w:tc>
          <w:tcPr>
            <w:tcW w:w="2268" w:type="dxa"/>
            <w:tcBorders>
              <w:top w:val="outset" w:sz="6" w:space="0" w:color="auto"/>
              <w:left w:val="outset" w:sz="6" w:space="0" w:color="auto"/>
              <w:bottom w:val="outset" w:sz="6" w:space="0" w:color="auto"/>
              <w:right w:val="outset" w:sz="6" w:space="0" w:color="auto"/>
            </w:tcBorders>
            <w:vAlign w:val="center"/>
          </w:tcPr>
          <w:p w14:paraId="7D3D0A69" w14:textId="77777777" w:rsidR="000059CC" w:rsidRDefault="000059CC" w:rsidP="000059CC">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Resto base liquidable €</w:t>
            </w:r>
          </w:p>
        </w:tc>
        <w:tc>
          <w:tcPr>
            <w:tcW w:w="1417" w:type="dxa"/>
            <w:tcBorders>
              <w:top w:val="outset" w:sz="6" w:space="0" w:color="auto"/>
              <w:left w:val="outset" w:sz="6" w:space="0" w:color="auto"/>
              <w:bottom w:val="outset" w:sz="6" w:space="0" w:color="auto"/>
              <w:right w:val="outset" w:sz="6" w:space="0" w:color="auto"/>
            </w:tcBorders>
            <w:vAlign w:val="center"/>
          </w:tcPr>
          <w:p w14:paraId="29C54CBE" w14:textId="77777777" w:rsidR="000059CC" w:rsidRDefault="000059CC" w:rsidP="000059CC">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Tipo aplicable</w:t>
            </w:r>
          </w:p>
        </w:tc>
      </w:tr>
      <w:tr w:rsidR="000059CC" w14:paraId="10F22AA5" w14:textId="77777777" w:rsidTr="003A17C3">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3F372173" w14:textId="77777777" w:rsidR="000059CC" w:rsidRDefault="000059CC"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0,00</w:t>
            </w:r>
          </w:p>
        </w:tc>
        <w:tc>
          <w:tcPr>
            <w:tcW w:w="1567" w:type="dxa"/>
            <w:tcBorders>
              <w:top w:val="outset" w:sz="6" w:space="0" w:color="auto"/>
              <w:left w:val="outset" w:sz="6" w:space="0" w:color="auto"/>
              <w:bottom w:val="outset" w:sz="6" w:space="0" w:color="auto"/>
              <w:right w:val="outset" w:sz="6" w:space="0" w:color="auto"/>
            </w:tcBorders>
            <w:vAlign w:val="bottom"/>
          </w:tcPr>
          <w:p w14:paraId="410AFBB0" w14:textId="77777777" w:rsidR="000059CC" w:rsidRDefault="000059CC"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0,00</w:t>
            </w:r>
          </w:p>
        </w:tc>
        <w:tc>
          <w:tcPr>
            <w:tcW w:w="2268" w:type="dxa"/>
            <w:tcBorders>
              <w:top w:val="outset" w:sz="6" w:space="0" w:color="auto"/>
              <w:left w:val="outset" w:sz="6" w:space="0" w:color="auto"/>
              <w:bottom w:val="outset" w:sz="6" w:space="0" w:color="auto"/>
              <w:right w:val="outset" w:sz="6" w:space="0" w:color="auto"/>
            </w:tcBorders>
            <w:vAlign w:val="bottom"/>
          </w:tcPr>
          <w:p w14:paraId="5D6670A4" w14:textId="77777777" w:rsidR="000059CC" w:rsidRDefault="000059CC"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10.000</w:t>
            </w:r>
          </w:p>
        </w:tc>
        <w:tc>
          <w:tcPr>
            <w:tcW w:w="1417" w:type="dxa"/>
            <w:tcBorders>
              <w:top w:val="outset" w:sz="6" w:space="0" w:color="auto"/>
              <w:left w:val="outset" w:sz="6" w:space="0" w:color="auto"/>
              <w:bottom w:val="outset" w:sz="6" w:space="0" w:color="auto"/>
              <w:right w:val="outset" w:sz="6" w:space="0" w:color="auto"/>
            </w:tcBorders>
            <w:vAlign w:val="bottom"/>
          </w:tcPr>
          <w:p w14:paraId="3DFC3E63" w14:textId="77777777" w:rsidR="000059CC" w:rsidRDefault="000059CC"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2,00%</w:t>
            </w:r>
          </w:p>
        </w:tc>
      </w:tr>
      <w:tr w:rsidR="000059CC" w14:paraId="299CFB9A" w14:textId="77777777" w:rsidTr="003A17C3">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355AA4C7" w14:textId="77777777" w:rsidR="000059CC" w:rsidRDefault="000059CC"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10.000</w:t>
            </w:r>
          </w:p>
        </w:tc>
        <w:tc>
          <w:tcPr>
            <w:tcW w:w="1567" w:type="dxa"/>
            <w:tcBorders>
              <w:top w:val="outset" w:sz="6" w:space="0" w:color="auto"/>
              <w:left w:val="outset" w:sz="6" w:space="0" w:color="auto"/>
              <w:bottom w:val="outset" w:sz="6" w:space="0" w:color="auto"/>
              <w:right w:val="outset" w:sz="6" w:space="0" w:color="auto"/>
            </w:tcBorders>
            <w:vAlign w:val="bottom"/>
          </w:tcPr>
          <w:p w14:paraId="71703FE8" w14:textId="77777777" w:rsidR="000059CC" w:rsidRDefault="000059CC"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200</w:t>
            </w:r>
          </w:p>
        </w:tc>
        <w:tc>
          <w:tcPr>
            <w:tcW w:w="2268" w:type="dxa"/>
            <w:tcBorders>
              <w:top w:val="outset" w:sz="6" w:space="0" w:color="auto"/>
              <w:left w:val="outset" w:sz="6" w:space="0" w:color="auto"/>
              <w:bottom w:val="outset" w:sz="6" w:space="0" w:color="auto"/>
              <w:right w:val="outset" w:sz="6" w:space="0" w:color="auto"/>
            </w:tcBorders>
            <w:vAlign w:val="bottom"/>
          </w:tcPr>
          <w:p w14:paraId="7A508A68" w14:textId="77777777" w:rsidR="000059CC" w:rsidRDefault="000059CC"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50.000</w:t>
            </w:r>
          </w:p>
        </w:tc>
        <w:tc>
          <w:tcPr>
            <w:tcW w:w="1417" w:type="dxa"/>
            <w:tcBorders>
              <w:top w:val="outset" w:sz="6" w:space="0" w:color="auto"/>
              <w:left w:val="outset" w:sz="6" w:space="0" w:color="auto"/>
              <w:bottom w:val="outset" w:sz="6" w:space="0" w:color="auto"/>
              <w:right w:val="outset" w:sz="6" w:space="0" w:color="auto"/>
            </w:tcBorders>
            <w:vAlign w:val="bottom"/>
          </w:tcPr>
          <w:p w14:paraId="7EDAC3F8" w14:textId="77777777" w:rsidR="000059CC" w:rsidRDefault="000059CC"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5,00%</w:t>
            </w:r>
          </w:p>
        </w:tc>
      </w:tr>
      <w:tr w:rsidR="000059CC" w14:paraId="6696F2D7" w14:textId="77777777" w:rsidTr="003A17C3">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066D1C30"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60</w:t>
            </w:r>
            <w:r w:rsidR="000059CC">
              <w:rPr>
                <w:rFonts w:ascii="Times New Roman" w:hAnsi="Times New Roman"/>
                <w:sz w:val="22"/>
                <w:szCs w:val="22"/>
                <w:lang w:val="es-ES"/>
              </w:rPr>
              <w:t>.000</w:t>
            </w:r>
          </w:p>
        </w:tc>
        <w:tc>
          <w:tcPr>
            <w:tcW w:w="1567" w:type="dxa"/>
            <w:tcBorders>
              <w:top w:val="outset" w:sz="6" w:space="0" w:color="auto"/>
              <w:left w:val="outset" w:sz="6" w:space="0" w:color="auto"/>
              <w:bottom w:val="outset" w:sz="6" w:space="0" w:color="auto"/>
              <w:right w:val="outset" w:sz="6" w:space="0" w:color="auto"/>
            </w:tcBorders>
            <w:vAlign w:val="bottom"/>
          </w:tcPr>
          <w:p w14:paraId="22DF1DBA"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2.700</w:t>
            </w:r>
          </w:p>
        </w:tc>
        <w:tc>
          <w:tcPr>
            <w:tcW w:w="2268" w:type="dxa"/>
            <w:tcBorders>
              <w:top w:val="outset" w:sz="6" w:space="0" w:color="auto"/>
              <w:left w:val="outset" w:sz="6" w:space="0" w:color="auto"/>
              <w:bottom w:val="outset" w:sz="6" w:space="0" w:color="auto"/>
              <w:right w:val="outset" w:sz="6" w:space="0" w:color="auto"/>
            </w:tcBorders>
            <w:vAlign w:val="bottom"/>
          </w:tcPr>
          <w:p w14:paraId="64843C90"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90</w:t>
            </w:r>
            <w:r w:rsidR="000059CC">
              <w:rPr>
                <w:rFonts w:ascii="Times New Roman" w:hAnsi="Times New Roman"/>
                <w:sz w:val="22"/>
                <w:szCs w:val="22"/>
                <w:lang w:val="es-ES"/>
              </w:rPr>
              <w:t>.000</w:t>
            </w:r>
          </w:p>
        </w:tc>
        <w:tc>
          <w:tcPr>
            <w:tcW w:w="1417" w:type="dxa"/>
            <w:tcBorders>
              <w:top w:val="outset" w:sz="6" w:space="0" w:color="auto"/>
              <w:left w:val="outset" w:sz="6" w:space="0" w:color="auto"/>
              <w:bottom w:val="outset" w:sz="6" w:space="0" w:color="auto"/>
              <w:right w:val="outset" w:sz="6" w:space="0" w:color="auto"/>
            </w:tcBorders>
            <w:vAlign w:val="bottom"/>
          </w:tcPr>
          <w:p w14:paraId="401451E7"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10,00</w:t>
            </w:r>
            <w:r w:rsidR="000059CC">
              <w:rPr>
                <w:rFonts w:ascii="Times New Roman" w:hAnsi="Times New Roman"/>
                <w:sz w:val="22"/>
                <w:szCs w:val="22"/>
                <w:lang w:val="es-ES"/>
              </w:rPr>
              <w:t>%</w:t>
            </w:r>
          </w:p>
        </w:tc>
      </w:tr>
      <w:tr w:rsidR="000059CC" w14:paraId="10015705" w14:textId="77777777" w:rsidTr="003A17C3">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47EF1FD6"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150</w:t>
            </w:r>
            <w:r w:rsidR="000059CC">
              <w:rPr>
                <w:rFonts w:ascii="Times New Roman" w:hAnsi="Times New Roman"/>
                <w:sz w:val="22"/>
                <w:szCs w:val="22"/>
                <w:lang w:val="es-ES"/>
              </w:rPr>
              <w:t>.000</w:t>
            </w:r>
          </w:p>
        </w:tc>
        <w:tc>
          <w:tcPr>
            <w:tcW w:w="1567" w:type="dxa"/>
            <w:tcBorders>
              <w:top w:val="outset" w:sz="6" w:space="0" w:color="auto"/>
              <w:left w:val="outset" w:sz="6" w:space="0" w:color="auto"/>
              <w:bottom w:val="outset" w:sz="6" w:space="0" w:color="auto"/>
              <w:right w:val="outset" w:sz="6" w:space="0" w:color="auto"/>
            </w:tcBorders>
            <w:vAlign w:val="bottom"/>
          </w:tcPr>
          <w:p w14:paraId="3BA526A4"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11.700</w:t>
            </w:r>
          </w:p>
        </w:tc>
        <w:tc>
          <w:tcPr>
            <w:tcW w:w="2268" w:type="dxa"/>
            <w:tcBorders>
              <w:top w:val="outset" w:sz="6" w:space="0" w:color="auto"/>
              <w:left w:val="outset" w:sz="6" w:space="0" w:color="auto"/>
              <w:bottom w:val="outset" w:sz="6" w:space="0" w:color="auto"/>
              <w:right w:val="outset" w:sz="6" w:space="0" w:color="auto"/>
            </w:tcBorders>
            <w:vAlign w:val="bottom"/>
          </w:tcPr>
          <w:p w14:paraId="49C82982"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150</w:t>
            </w:r>
            <w:r w:rsidR="000059CC">
              <w:rPr>
                <w:rFonts w:ascii="Times New Roman" w:hAnsi="Times New Roman"/>
                <w:sz w:val="22"/>
                <w:szCs w:val="22"/>
                <w:lang w:val="es-ES"/>
              </w:rPr>
              <w:t>.000</w:t>
            </w:r>
          </w:p>
        </w:tc>
        <w:tc>
          <w:tcPr>
            <w:tcW w:w="1417" w:type="dxa"/>
            <w:tcBorders>
              <w:top w:val="outset" w:sz="6" w:space="0" w:color="auto"/>
              <w:left w:val="outset" w:sz="6" w:space="0" w:color="auto"/>
              <w:bottom w:val="outset" w:sz="6" w:space="0" w:color="auto"/>
              <w:right w:val="outset" w:sz="6" w:space="0" w:color="auto"/>
            </w:tcBorders>
            <w:vAlign w:val="bottom"/>
          </w:tcPr>
          <w:p w14:paraId="1EED4874"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15,00</w:t>
            </w:r>
            <w:r w:rsidR="000059CC">
              <w:rPr>
                <w:rFonts w:ascii="Times New Roman" w:hAnsi="Times New Roman"/>
                <w:sz w:val="22"/>
                <w:szCs w:val="22"/>
                <w:lang w:val="es-ES"/>
              </w:rPr>
              <w:t>%</w:t>
            </w:r>
          </w:p>
        </w:tc>
      </w:tr>
      <w:tr w:rsidR="000059CC" w14:paraId="7690A18F" w14:textId="77777777" w:rsidTr="003A17C3">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1E741C3B"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300</w:t>
            </w:r>
            <w:r w:rsidR="000059CC">
              <w:rPr>
                <w:rFonts w:ascii="Times New Roman" w:hAnsi="Times New Roman"/>
                <w:sz w:val="22"/>
                <w:szCs w:val="22"/>
                <w:lang w:val="es-ES"/>
              </w:rPr>
              <w:t>.000</w:t>
            </w:r>
          </w:p>
        </w:tc>
        <w:tc>
          <w:tcPr>
            <w:tcW w:w="1567" w:type="dxa"/>
            <w:tcBorders>
              <w:top w:val="outset" w:sz="6" w:space="0" w:color="auto"/>
              <w:left w:val="outset" w:sz="6" w:space="0" w:color="auto"/>
              <w:bottom w:val="outset" w:sz="6" w:space="0" w:color="auto"/>
              <w:right w:val="outset" w:sz="6" w:space="0" w:color="auto"/>
            </w:tcBorders>
            <w:vAlign w:val="bottom"/>
          </w:tcPr>
          <w:p w14:paraId="676BCCDC" w14:textId="77777777" w:rsidR="000059CC" w:rsidRPr="00996C90" w:rsidRDefault="00A02E27" w:rsidP="000059CC">
            <w:pPr>
              <w:overflowPunct/>
              <w:autoSpaceDE/>
              <w:autoSpaceDN/>
              <w:adjustRightInd/>
              <w:jc w:val="right"/>
              <w:textAlignment w:val="auto"/>
              <w:rPr>
                <w:rFonts w:ascii="Times New Roman" w:hAnsi="Times New Roman"/>
                <w:color w:val="000000"/>
                <w:sz w:val="22"/>
                <w:szCs w:val="22"/>
                <w:lang w:val="es-ES"/>
              </w:rPr>
            </w:pPr>
            <w:r w:rsidRPr="00996C90">
              <w:rPr>
                <w:rFonts w:ascii="Times New Roman" w:hAnsi="Times New Roman"/>
                <w:color w:val="000000"/>
                <w:sz w:val="22"/>
                <w:szCs w:val="22"/>
                <w:lang w:val="es-ES"/>
              </w:rPr>
              <w:t>34.200</w:t>
            </w:r>
          </w:p>
        </w:tc>
        <w:tc>
          <w:tcPr>
            <w:tcW w:w="2268" w:type="dxa"/>
            <w:tcBorders>
              <w:top w:val="outset" w:sz="6" w:space="0" w:color="auto"/>
              <w:left w:val="outset" w:sz="6" w:space="0" w:color="auto"/>
              <w:bottom w:val="outset" w:sz="6" w:space="0" w:color="auto"/>
              <w:right w:val="outset" w:sz="6" w:space="0" w:color="auto"/>
            </w:tcBorders>
            <w:vAlign w:val="bottom"/>
          </w:tcPr>
          <w:p w14:paraId="2D9F146D"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150</w:t>
            </w:r>
            <w:r w:rsidR="000059CC">
              <w:rPr>
                <w:rFonts w:ascii="Times New Roman" w:hAnsi="Times New Roman"/>
                <w:sz w:val="22"/>
                <w:szCs w:val="22"/>
                <w:lang w:val="es-ES"/>
              </w:rPr>
              <w:t>.000</w:t>
            </w:r>
          </w:p>
        </w:tc>
        <w:tc>
          <w:tcPr>
            <w:tcW w:w="1417" w:type="dxa"/>
            <w:tcBorders>
              <w:top w:val="outset" w:sz="6" w:space="0" w:color="auto"/>
              <w:left w:val="outset" w:sz="6" w:space="0" w:color="auto"/>
              <w:bottom w:val="outset" w:sz="6" w:space="0" w:color="auto"/>
              <w:right w:val="outset" w:sz="6" w:space="0" w:color="auto"/>
            </w:tcBorders>
            <w:vAlign w:val="bottom"/>
          </w:tcPr>
          <w:p w14:paraId="4ADF60C7"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25</w:t>
            </w:r>
            <w:r w:rsidR="000059CC">
              <w:rPr>
                <w:rFonts w:ascii="Times New Roman" w:hAnsi="Times New Roman"/>
                <w:sz w:val="22"/>
                <w:szCs w:val="22"/>
                <w:lang w:val="es-ES"/>
              </w:rPr>
              <w:t>,05%</w:t>
            </w:r>
          </w:p>
        </w:tc>
      </w:tr>
      <w:tr w:rsidR="000059CC" w14:paraId="0B7167BA" w14:textId="77777777" w:rsidTr="003A17C3">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2592E10A"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450</w:t>
            </w:r>
            <w:r w:rsidR="000059CC">
              <w:rPr>
                <w:rFonts w:ascii="Times New Roman" w:hAnsi="Times New Roman"/>
                <w:sz w:val="22"/>
                <w:szCs w:val="22"/>
                <w:lang w:val="es-ES"/>
              </w:rPr>
              <w:t>.000</w:t>
            </w:r>
          </w:p>
        </w:tc>
        <w:tc>
          <w:tcPr>
            <w:tcW w:w="1567" w:type="dxa"/>
            <w:tcBorders>
              <w:top w:val="outset" w:sz="6" w:space="0" w:color="auto"/>
              <w:left w:val="outset" w:sz="6" w:space="0" w:color="auto"/>
              <w:bottom w:val="outset" w:sz="6" w:space="0" w:color="auto"/>
              <w:right w:val="outset" w:sz="6" w:space="0" w:color="auto"/>
            </w:tcBorders>
            <w:vAlign w:val="bottom"/>
          </w:tcPr>
          <w:p w14:paraId="0ECFFA4D" w14:textId="77777777" w:rsidR="000059CC" w:rsidRDefault="00BE270B" w:rsidP="00BE270B">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71</w:t>
            </w:r>
            <w:r w:rsidR="000059CC">
              <w:rPr>
                <w:rFonts w:ascii="Times New Roman" w:hAnsi="Times New Roman"/>
                <w:sz w:val="22"/>
                <w:szCs w:val="22"/>
                <w:lang w:val="es-ES"/>
              </w:rPr>
              <w:t>.7</w:t>
            </w:r>
            <w:r>
              <w:rPr>
                <w:rFonts w:ascii="Times New Roman" w:hAnsi="Times New Roman"/>
                <w:sz w:val="22"/>
                <w:szCs w:val="22"/>
                <w:lang w:val="es-ES"/>
              </w:rPr>
              <w:t>00</w:t>
            </w:r>
          </w:p>
        </w:tc>
        <w:tc>
          <w:tcPr>
            <w:tcW w:w="2268" w:type="dxa"/>
            <w:tcBorders>
              <w:top w:val="outset" w:sz="6" w:space="0" w:color="auto"/>
              <w:left w:val="outset" w:sz="6" w:space="0" w:color="auto"/>
              <w:bottom w:val="outset" w:sz="6" w:space="0" w:color="auto"/>
              <w:right w:val="outset" w:sz="6" w:space="0" w:color="auto"/>
            </w:tcBorders>
            <w:vAlign w:val="bottom"/>
          </w:tcPr>
          <w:p w14:paraId="5BC22241"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350</w:t>
            </w:r>
            <w:r w:rsidR="000059CC">
              <w:rPr>
                <w:rFonts w:ascii="Times New Roman" w:hAnsi="Times New Roman"/>
                <w:sz w:val="22"/>
                <w:szCs w:val="22"/>
                <w:lang w:val="es-ES"/>
              </w:rPr>
              <w:t>.000</w:t>
            </w:r>
          </w:p>
        </w:tc>
        <w:tc>
          <w:tcPr>
            <w:tcW w:w="1417" w:type="dxa"/>
            <w:tcBorders>
              <w:top w:val="outset" w:sz="6" w:space="0" w:color="auto"/>
              <w:left w:val="outset" w:sz="6" w:space="0" w:color="auto"/>
              <w:bottom w:val="outset" w:sz="6" w:space="0" w:color="auto"/>
              <w:right w:val="outset" w:sz="6" w:space="0" w:color="auto"/>
            </w:tcBorders>
            <w:vAlign w:val="bottom"/>
          </w:tcPr>
          <w:p w14:paraId="41A8FFFD"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30,00</w:t>
            </w:r>
            <w:r w:rsidR="000059CC">
              <w:rPr>
                <w:rFonts w:ascii="Times New Roman" w:hAnsi="Times New Roman"/>
                <w:sz w:val="22"/>
                <w:szCs w:val="22"/>
                <w:lang w:val="es-ES"/>
              </w:rPr>
              <w:t>%</w:t>
            </w:r>
          </w:p>
        </w:tc>
      </w:tr>
      <w:tr w:rsidR="000059CC" w14:paraId="007E7A8B" w14:textId="77777777" w:rsidTr="003A17C3">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18A503BE"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w:t>
            </w:r>
            <w:r w:rsidR="000059CC">
              <w:rPr>
                <w:rFonts w:ascii="Times New Roman" w:hAnsi="Times New Roman"/>
                <w:sz w:val="22"/>
                <w:szCs w:val="22"/>
                <w:lang w:val="es-ES"/>
              </w:rPr>
              <w:t>.000</w:t>
            </w:r>
          </w:p>
        </w:tc>
        <w:tc>
          <w:tcPr>
            <w:tcW w:w="1567" w:type="dxa"/>
            <w:tcBorders>
              <w:top w:val="outset" w:sz="6" w:space="0" w:color="auto"/>
              <w:left w:val="outset" w:sz="6" w:space="0" w:color="auto"/>
              <w:bottom w:val="outset" w:sz="6" w:space="0" w:color="auto"/>
              <w:right w:val="outset" w:sz="6" w:space="0" w:color="auto"/>
            </w:tcBorders>
            <w:vAlign w:val="bottom"/>
          </w:tcPr>
          <w:p w14:paraId="0D8D5A35"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176.700</w:t>
            </w:r>
          </w:p>
        </w:tc>
        <w:tc>
          <w:tcPr>
            <w:tcW w:w="2268" w:type="dxa"/>
            <w:tcBorders>
              <w:top w:val="outset" w:sz="6" w:space="0" w:color="auto"/>
              <w:left w:val="outset" w:sz="6" w:space="0" w:color="auto"/>
              <w:bottom w:val="outset" w:sz="6" w:space="0" w:color="auto"/>
              <w:right w:val="outset" w:sz="6" w:space="0" w:color="auto"/>
            </w:tcBorders>
            <w:vAlign w:val="bottom"/>
          </w:tcPr>
          <w:p w14:paraId="02CA4FFD"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En adelante</w:t>
            </w:r>
          </w:p>
        </w:tc>
        <w:tc>
          <w:tcPr>
            <w:tcW w:w="1417" w:type="dxa"/>
            <w:tcBorders>
              <w:top w:val="outset" w:sz="6" w:space="0" w:color="auto"/>
              <w:left w:val="outset" w:sz="6" w:space="0" w:color="auto"/>
              <w:bottom w:val="outset" w:sz="6" w:space="0" w:color="auto"/>
              <w:right w:val="outset" w:sz="6" w:space="0" w:color="auto"/>
            </w:tcBorders>
            <w:vAlign w:val="bottom"/>
          </w:tcPr>
          <w:p w14:paraId="266B613F" w14:textId="77777777" w:rsidR="000059CC" w:rsidRDefault="00BE270B" w:rsidP="000059CC">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36,50</w:t>
            </w:r>
            <w:r w:rsidR="000059CC">
              <w:rPr>
                <w:rFonts w:ascii="Times New Roman" w:hAnsi="Times New Roman"/>
                <w:sz w:val="22"/>
                <w:szCs w:val="22"/>
                <w:lang w:val="es-ES"/>
              </w:rPr>
              <w:t>%</w:t>
            </w:r>
          </w:p>
        </w:tc>
      </w:tr>
    </w:tbl>
    <w:p w14:paraId="0F2FEA03" w14:textId="77777777" w:rsidR="000059CC" w:rsidRDefault="000059CC" w:rsidP="005222DF">
      <w:pPr>
        <w:spacing w:line="280" w:lineRule="atLeast"/>
        <w:ind w:left="1440"/>
        <w:jc w:val="both"/>
        <w:rPr>
          <w:rFonts w:ascii="Times New Roman" w:hAnsi="Times New Roman"/>
          <w:sz w:val="26"/>
          <w:szCs w:val="26"/>
        </w:rPr>
      </w:pPr>
    </w:p>
    <w:p w14:paraId="3C311B74" w14:textId="77777777" w:rsidR="000F58A3" w:rsidRDefault="000F58A3" w:rsidP="00C854F8">
      <w:pPr>
        <w:numPr>
          <w:ilvl w:val="2"/>
          <w:numId w:val="15"/>
        </w:numPr>
        <w:spacing w:line="280" w:lineRule="atLeast"/>
        <w:jc w:val="both"/>
        <w:rPr>
          <w:b/>
          <w:color w:val="000000"/>
          <w:spacing w:val="6"/>
          <w:sz w:val="22"/>
          <w:szCs w:val="22"/>
        </w:rPr>
      </w:pPr>
      <w:bookmarkStart w:id="157" w:name="Normativa2024"/>
      <w:bookmarkEnd w:id="156"/>
      <w:bookmarkEnd w:id="157"/>
      <w:r>
        <w:rPr>
          <w:b/>
          <w:color w:val="000000"/>
          <w:spacing w:val="6"/>
          <w:sz w:val="26"/>
          <w:szCs w:val="26"/>
        </w:rPr>
        <w:t>Normativa a partir del 1 de enero de 2024</w:t>
      </w:r>
    </w:p>
    <w:p w14:paraId="42F7167B" w14:textId="77777777" w:rsidR="000F58A3" w:rsidRDefault="000F58A3" w:rsidP="000F58A3">
      <w:pPr>
        <w:spacing w:line="280" w:lineRule="atLeast"/>
        <w:ind w:left="1440"/>
        <w:jc w:val="both"/>
        <w:rPr>
          <w:rFonts w:ascii="Times New Roman" w:hAnsi="Times New Roman"/>
          <w:sz w:val="26"/>
          <w:szCs w:val="26"/>
        </w:rPr>
      </w:pPr>
      <w:r>
        <w:rPr>
          <w:color w:val="000000"/>
          <w:spacing w:val="6"/>
          <w:sz w:val="26"/>
          <w:szCs w:val="26"/>
        </w:rPr>
        <w:t xml:space="preserve">Según el </w:t>
      </w:r>
      <w:bookmarkStart w:id="158" w:name="_Hlk155521215"/>
      <w:r w:rsidR="00CF3D3A">
        <w:rPr>
          <w:color w:val="000000"/>
          <w:spacing w:val="6"/>
          <w:sz w:val="26"/>
          <w:szCs w:val="26"/>
        </w:rPr>
        <w:fldChar w:fldCharType="begin"/>
      </w:r>
      <w:r w:rsidR="00CF3D3A">
        <w:rPr>
          <w:color w:val="000000"/>
          <w:spacing w:val="6"/>
          <w:sz w:val="26"/>
          <w:szCs w:val="26"/>
        </w:rPr>
        <w:instrText>HYPERLINK "https://noticias.juridicas.com/base_datos/CCAA/538599-decreto-legislativo-2-2014-de-22-de-octubre-por-el-que-se-aprueba-el-texto.html" \l "a21"</w:instrText>
      </w:r>
      <w:r w:rsidR="00CF3D3A">
        <w:rPr>
          <w:color w:val="000000"/>
          <w:spacing w:val="6"/>
          <w:sz w:val="26"/>
          <w:szCs w:val="26"/>
        </w:rPr>
      </w:r>
      <w:r w:rsidR="00CF3D3A">
        <w:rPr>
          <w:color w:val="000000"/>
          <w:spacing w:val="6"/>
          <w:sz w:val="26"/>
          <w:szCs w:val="26"/>
        </w:rPr>
        <w:fldChar w:fldCharType="separate"/>
      </w:r>
      <w:r w:rsidRPr="00CF3D3A">
        <w:rPr>
          <w:rStyle w:val="Hipervnculo"/>
          <w:spacing w:val="6"/>
          <w:sz w:val="26"/>
          <w:szCs w:val="26"/>
        </w:rPr>
        <w:t>art. 21-3 del Decreto-legislativo asturiano 2/2014</w:t>
      </w:r>
      <w:r w:rsidR="00CF3D3A">
        <w:rPr>
          <w:color w:val="000000"/>
          <w:spacing w:val="6"/>
          <w:sz w:val="26"/>
          <w:szCs w:val="26"/>
        </w:rPr>
        <w:fldChar w:fldCharType="end"/>
      </w:r>
      <w:r>
        <w:rPr>
          <w:color w:val="000000"/>
          <w:spacing w:val="6"/>
          <w:sz w:val="26"/>
          <w:szCs w:val="26"/>
        </w:rPr>
        <w:t xml:space="preserve"> </w:t>
      </w:r>
      <w:bookmarkEnd w:id="158"/>
      <w:r>
        <w:rPr>
          <w:color w:val="000000"/>
          <w:spacing w:val="6"/>
          <w:sz w:val="26"/>
          <w:szCs w:val="26"/>
        </w:rPr>
        <w:t>(modificado  por la Ley 4/2023</w:t>
      </w:r>
      <w:r>
        <w:rPr>
          <w:rFonts w:ascii="Times New Roman" w:hAnsi="Times New Roman"/>
          <w:sz w:val="26"/>
          <w:szCs w:val="26"/>
        </w:rPr>
        <w:t>, en vigor desde el 1 de enero de 2024), en las donaciones en favor de parientes de los Grupos I y II (cónyuge, descendientes y ascendientes), cuyo patrimonio (con exclusión de la vivienda habitual) sea inferior a 402.678,11 €uros y que se formalicen en documento público (antes de la expiración del plazo de liquidación del impuesto), se aplicará la siguiente tarifa:</w:t>
      </w:r>
    </w:p>
    <w:p w14:paraId="1C264D0B" w14:textId="77777777" w:rsidR="000F58A3" w:rsidRDefault="000F58A3" w:rsidP="005222DF">
      <w:pPr>
        <w:spacing w:line="280" w:lineRule="atLeast"/>
        <w:ind w:left="1440"/>
        <w:jc w:val="both"/>
        <w:rPr>
          <w:rFonts w:ascii="Times New Roman" w:hAnsi="Times New Roman"/>
          <w:color w:val="222222"/>
          <w:sz w:val="26"/>
          <w:szCs w:val="26"/>
          <w:lang w:val="es-ES"/>
        </w:rPr>
      </w:pPr>
    </w:p>
    <w:p w14:paraId="0466691B" w14:textId="77777777" w:rsidR="00EA6C1A" w:rsidRDefault="00EA6C1A" w:rsidP="005222DF">
      <w:pPr>
        <w:spacing w:line="280" w:lineRule="atLeast"/>
        <w:ind w:left="1440"/>
        <w:jc w:val="both"/>
        <w:rPr>
          <w:rFonts w:ascii="Times New Roman" w:hAnsi="Times New Roman"/>
          <w:color w:val="222222"/>
          <w:sz w:val="26"/>
          <w:szCs w:val="26"/>
          <w:lang w:val="es-ES"/>
        </w:rPr>
      </w:pPr>
    </w:p>
    <w:tbl>
      <w:tblPr>
        <w:tblW w:w="7087" w:type="dxa"/>
        <w:tblCellSpacing w:w="0" w:type="dxa"/>
        <w:tblInd w:w="1648"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1835"/>
        <w:gridCol w:w="1567"/>
        <w:gridCol w:w="2268"/>
        <w:gridCol w:w="1417"/>
      </w:tblGrid>
      <w:tr w:rsidR="000F58A3" w14:paraId="448818C5" w14:textId="77777777" w:rsidTr="00A72D88">
        <w:trPr>
          <w:tblCellSpacing w:w="0" w:type="dxa"/>
        </w:trPr>
        <w:tc>
          <w:tcPr>
            <w:tcW w:w="1835" w:type="dxa"/>
            <w:tcBorders>
              <w:top w:val="outset" w:sz="6" w:space="0" w:color="auto"/>
              <w:left w:val="outset" w:sz="6" w:space="0" w:color="auto"/>
              <w:bottom w:val="outset" w:sz="6" w:space="0" w:color="auto"/>
              <w:right w:val="outset" w:sz="6" w:space="0" w:color="auto"/>
            </w:tcBorders>
            <w:vAlign w:val="center"/>
          </w:tcPr>
          <w:p w14:paraId="67DAD692" w14:textId="77777777" w:rsidR="000F58A3" w:rsidRDefault="000F58A3" w:rsidP="00A72D88">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Base liquidable €</w:t>
            </w:r>
          </w:p>
        </w:tc>
        <w:tc>
          <w:tcPr>
            <w:tcW w:w="1567" w:type="dxa"/>
            <w:tcBorders>
              <w:top w:val="outset" w:sz="6" w:space="0" w:color="auto"/>
              <w:left w:val="outset" w:sz="6" w:space="0" w:color="auto"/>
              <w:bottom w:val="outset" w:sz="6" w:space="0" w:color="auto"/>
              <w:right w:val="outset" w:sz="6" w:space="0" w:color="auto"/>
            </w:tcBorders>
            <w:vAlign w:val="center"/>
          </w:tcPr>
          <w:p w14:paraId="51668DDB" w14:textId="77777777" w:rsidR="000F58A3" w:rsidRDefault="000F58A3" w:rsidP="00A72D88">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Cuota íntegra €</w:t>
            </w:r>
          </w:p>
        </w:tc>
        <w:tc>
          <w:tcPr>
            <w:tcW w:w="2268" w:type="dxa"/>
            <w:tcBorders>
              <w:top w:val="outset" w:sz="6" w:space="0" w:color="auto"/>
              <w:left w:val="outset" w:sz="6" w:space="0" w:color="auto"/>
              <w:bottom w:val="outset" w:sz="6" w:space="0" w:color="auto"/>
              <w:right w:val="outset" w:sz="6" w:space="0" w:color="auto"/>
            </w:tcBorders>
            <w:vAlign w:val="center"/>
          </w:tcPr>
          <w:p w14:paraId="665CFD32" w14:textId="77777777" w:rsidR="000F58A3" w:rsidRDefault="000F58A3" w:rsidP="00A72D88">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Resto base liquidable €</w:t>
            </w:r>
          </w:p>
        </w:tc>
        <w:tc>
          <w:tcPr>
            <w:tcW w:w="1417" w:type="dxa"/>
            <w:tcBorders>
              <w:top w:val="outset" w:sz="6" w:space="0" w:color="auto"/>
              <w:left w:val="outset" w:sz="6" w:space="0" w:color="auto"/>
              <w:bottom w:val="outset" w:sz="6" w:space="0" w:color="auto"/>
              <w:right w:val="outset" w:sz="6" w:space="0" w:color="auto"/>
            </w:tcBorders>
            <w:vAlign w:val="center"/>
          </w:tcPr>
          <w:p w14:paraId="186A63EC" w14:textId="77777777" w:rsidR="000F58A3" w:rsidRDefault="000F58A3" w:rsidP="00A72D88">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Tipo aplicable</w:t>
            </w:r>
          </w:p>
        </w:tc>
      </w:tr>
      <w:tr w:rsidR="000F58A3" w14:paraId="0051D932" w14:textId="77777777" w:rsidTr="00A72D88">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342B14B6"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0,00</w:t>
            </w:r>
          </w:p>
        </w:tc>
        <w:tc>
          <w:tcPr>
            <w:tcW w:w="1567" w:type="dxa"/>
            <w:tcBorders>
              <w:top w:val="outset" w:sz="6" w:space="0" w:color="auto"/>
              <w:left w:val="outset" w:sz="6" w:space="0" w:color="auto"/>
              <w:bottom w:val="outset" w:sz="6" w:space="0" w:color="auto"/>
              <w:right w:val="outset" w:sz="6" w:space="0" w:color="auto"/>
            </w:tcBorders>
            <w:vAlign w:val="bottom"/>
          </w:tcPr>
          <w:p w14:paraId="73C6471B"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0,00</w:t>
            </w:r>
          </w:p>
        </w:tc>
        <w:tc>
          <w:tcPr>
            <w:tcW w:w="2268" w:type="dxa"/>
            <w:tcBorders>
              <w:top w:val="outset" w:sz="6" w:space="0" w:color="auto"/>
              <w:left w:val="outset" w:sz="6" w:space="0" w:color="auto"/>
              <w:bottom w:val="outset" w:sz="6" w:space="0" w:color="auto"/>
              <w:right w:val="outset" w:sz="6" w:space="0" w:color="auto"/>
            </w:tcBorders>
            <w:vAlign w:val="bottom"/>
          </w:tcPr>
          <w:p w14:paraId="18A2D178"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150.000</w:t>
            </w:r>
          </w:p>
        </w:tc>
        <w:tc>
          <w:tcPr>
            <w:tcW w:w="1417" w:type="dxa"/>
            <w:tcBorders>
              <w:top w:val="outset" w:sz="6" w:space="0" w:color="auto"/>
              <w:left w:val="outset" w:sz="6" w:space="0" w:color="auto"/>
              <w:bottom w:val="outset" w:sz="6" w:space="0" w:color="auto"/>
              <w:right w:val="outset" w:sz="6" w:space="0" w:color="auto"/>
            </w:tcBorders>
            <w:vAlign w:val="bottom"/>
          </w:tcPr>
          <w:p w14:paraId="394AA968"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2,00%</w:t>
            </w:r>
          </w:p>
        </w:tc>
      </w:tr>
      <w:tr w:rsidR="000F58A3" w14:paraId="1981EC82" w14:textId="77777777" w:rsidTr="00A72D88">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5F06018B"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150.000</w:t>
            </w:r>
          </w:p>
        </w:tc>
        <w:tc>
          <w:tcPr>
            <w:tcW w:w="1567" w:type="dxa"/>
            <w:tcBorders>
              <w:top w:val="outset" w:sz="6" w:space="0" w:color="auto"/>
              <w:left w:val="outset" w:sz="6" w:space="0" w:color="auto"/>
              <w:bottom w:val="outset" w:sz="6" w:space="0" w:color="auto"/>
              <w:right w:val="outset" w:sz="6" w:space="0" w:color="auto"/>
            </w:tcBorders>
            <w:vAlign w:val="bottom"/>
          </w:tcPr>
          <w:p w14:paraId="04761C0D"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3.000</w:t>
            </w:r>
          </w:p>
        </w:tc>
        <w:tc>
          <w:tcPr>
            <w:tcW w:w="2268" w:type="dxa"/>
            <w:tcBorders>
              <w:top w:val="outset" w:sz="6" w:space="0" w:color="auto"/>
              <w:left w:val="outset" w:sz="6" w:space="0" w:color="auto"/>
              <w:bottom w:val="outset" w:sz="6" w:space="0" w:color="auto"/>
              <w:right w:val="outset" w:sz="6" w:space="0" w:color="auto"/>
            </w:tcBorders>
            <w:vAlign w:val="bottom"/>
          </w:tcPr>
          <w:p w14:paraId="421EC576"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300.000</w:t>
            </w:r>
          </w:p>
        </w:tc>
        <w:tc>
          <w:tcPr>
            <w:tcW w:w="1417" w:type="dxa"/>
            <w:tcBorders>
              <w:top w:val="outset" w:sz="6" w:space="0" w:color="auto"/>
              <w:left w:val="outset" w:sz="6" w:space="0" w:color="auto"/>
              <w:bottom w:val="outset" w:sz="6" w:space="0" w:color="auto"/>
              <w:right w:val="outset" w:sz="6" w:space="0" w:color="auto"/>
            </w:tcBorders>
            <w:vAlign w:val="bottom"/>
          </w:tcPr>
          <w:p w14:paraId="318A1630"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15,00%</w:t>
            </w:r>
          </w:p>
        </w:tc>
      </w:tr>
      <w:tr w:rsidR="000F58A3" w14:paraId="356C53BD" w14:textId="77777777" w:rsidTr="00A72D88">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285AEC21"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300.000</w:t>
            </w:r>
          </w:p>
        </w:tc>
        <w:tc>
          <w:tcPr>
            <w:tcW w:w="1567" w:type="dxa"/>
            <w:tcBorders>
              <w:top w:val="outset" w:sz="6" w:space="0" w:color="auto"/>
              <w:left w:val="outset" w:sz="6" w:space="0" w:color="auto"/>
              <w:bottom w:val="outset" w:sz="6" w:space="0" w:color="auto"/>
              <w:right w:val="outset" w:sz="6" w:space="0" w:color="auto"/>
            </w:tcBorders>
            <w:vAlign w:val="bottom"/>
          </w:tcPr>
          <w:p w14:paraId="43216A9B"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25.500</w:t>
            </w:r>
          </w:p>
        </w:tc>
        <w:tc>
          <w:tcPr>
            <w:tcW w:w="2268" w:type="dxa"/>
            <w:tcBorders>
              <w:top w:val="outset" w:sz="6" w:space="0" w:color="auto"/>
              <w:left w:val="outset" w:sz="6" w:space="0" w:color="auto"/>
              <w:bottom w:val="outset" w:sz="6" w:space="0" w:color="auto"/>
              <w:right w:val="outset" w:sz="6" w:space="0" w:color="auto"/>
            </w:tcBorders>
            <w:vAlign w:val="bottom"/>
          </w:tcPr>
          <w:p w14:paraId="7403941F"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450.000</w:t>
            </w:r>
          </w:p>
        </w:tc>
        <w:tc>
          <w:tcPr>
            <w:tcW w:w="1417" w:type="dxa"/>
            <w:tcBorders>
              <w:top w:val="outset" w:sz="6" w:space="0" w:color="auto"/>
              <w:left w:val="outset" w:sz="6" w:space="0" w:color="auto"/>
              <w:bottom w:val="outset" w:sz="6" w:space="0" w:color="auto"/>
              <w:right w:val="outset" w:sz="6" w:space="0" w:color="auto"/>
            </w:tcBorders>
            <w:vAlign w:val="bottom"/>
          </w:tcPr>
          <w:p w14:paraId="485664F8"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25,00%</w:t>
            </w:r>
          </w:p>
        </w:tc>
      </w:tr>
      <w:tr w:rsidR="000F58A3" w14:paraId="00503E96" w14:textId="77777777" w:rsidTr="00A72D88">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17D544BE"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450.000</w:t>
            </w:r>
          </w:p>
        </w:tc>
        <w:tc>
          <w:tcPr>
            <w:tcW w:w="1567" w:type="dxa"/>
            <w:tcBorders>
              <w:top w:val="outset" w:sz="6" w:space="0" w:color="auto"/>
              <w:left w:val="outset" w:sz="6" w:space="0" w:color="auto"/>
              <w:bottom w:val="outset" w:sz="6" w:space="0" w:color="auto"/>
              <w:right w:val="outset" w:sz="6" w:space="0" w:color="auto"/>
            </w:tcBorders>
            <w:vAlign w:val="bottom"/>
          </w:tcPr>
          <w:p w14:paraId="6BBAE0A6"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63.000</w:t>
            </w:r>
          </w:p>
        </w:tc>
        <w:tc>
          <w:tcPr>
            <w:tcW w:w="2268" w:type="dxa"/>
            <w:tcBorders>
              <w:top w:val="outset" w:sz="6" w:space="0" w:color="auto"/>
              <w:left w:val="outset" w:sz="6" w:space="0" w:color="auto"/>
              <w:bottom w:val="outset" w:sz="6" w:space="0" w:color="auto"/>
              <w:right w:val="outset" w:sz="6" w:space="0" w:color="auto"/>
            </w:tcBorders>
            <w:vAlign w:val="bottom"/>
          </w:tcPr>
          <w:p w14:paraId="7B491FE9"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600.000</w:t>
            </w:r>
          </w:p>
        </w:tc>
        <w:tc>
          <w:tcPr>
            <w:tcW w:w="1417" w:type="dxa"/>
            <w:tcBorders>
              <w:top w:val="outset" w:sz="6" w:space="0" w:color="auto"/>
              <w:left w:val="outset" w:sz="6" w:space="0" w:color="auto"/>
              <w:bottom w:val="outset" w:sz="6" w:space="0" w:color="auto"/>
              <w:right w:val="outset" w:sz="6" w:space="0" w:color="auto"/>
            </w:tcBorders>
            <w:vAlign w:val="bottom"/>
          </w:tcPr>
          <w:p w14:paraId="3F5A2528"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30,00%</w:t>
            </w:r>
          </w:p>
        </w:tc>
      </w:tr>
      <w:tr w:rsidR="000F58A3" w14:paraId="166D6E70" w14:textId="77777777" w:rsidTr="00A72D88">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217DA5CF"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600.000</w:t>
            </w:r>
          </w:p>
        </w:tc>
        <w:tc>
          <w:tcPr>
            <w:tcW w:w="1567" w:type="dxa"/>
            <w:tcBorders>
              <w:top w:val="outset" w:sz="6" w:space="0" w:color="auto"/>
              <w:left w:val="outset" w:sz="6" w:space="0" w:color="auto"/>
              <w:bottom w:val="outset" w:sz="6" w:space="0" w:color="auto"/>
              <w:right w:val="outset" w:sz="6" w:space="0" w:color="auto"/>
            </w:tcBorders>
            <w:vAlign w:val="bottom"/>
          </w:tcPr>
          <w:p w14:paraId="6C4EBB35" w14:textId="77777777" w:rsidR="000F58A3" w:rsidRPr="00996C90" w:rsidRDefault="000F58A3" w:rsidP="00A72D88">
            <w:pPr>
              <w:overflowPunct/>
              <w:autoSpaceDE/>
              <w:autoSpaceDN/>
              <w:adjustRightInd/>
              <w:jc w:val="right"/>
              <w:textAlignment w:val="auto"/>
              <w:rPr>
                <w:rFonts w:ascii="Times New Roman" w:hAnsi="Times New Roman"/>
                <w:color w:val="000000"/>
                <w:sz w:val="22"/>
                <w:szCs w:val="22"/>
                <w:lang w:val="es-ES"/>
              </w:rPr>
            </w:pPr>
            <w:r>
              <w:rPr>
                <w:rFonts w:ascii="Times New Roman" w:hAnsi="Times New Roman"/>
                <w:color w:val="000000"/>
                <w:sz w:val="22"/>
                <w:szCs w:val="22"/>
                <w:lang w:val="es-ES"/>
              </w:rPr>
              <w:t>108</w:t>
            </w:r>
            <w:r w:rsidRPr="00996C90">
              <w:rPr>
                <w:rFonts w:ascii="Times New Roman" w:hAnsi="Times New Roman"/>
                <w:color w:val="000000"/>
                <w:sz w:val="22"/>
                <w:szCs w:val="22"/>
                <w:lang w:val="es-ES"/>
              </w:rPr>
              <w:t>.</w:t>
            </w:r>
            <w:r>
              <w:rPr>
                <w:rFonts w:ascii="Times New Roman" w:hAnsi="Times New Roman"/>
                <w:color w:val="000000"/>
                <w:sz w:val="22"/>
                <w:szCs w:val="22"/>
                <w:lang w:val="es-ES"/>
              </w:rPr>
              <w:t>0</w:t>
            </w:r>
            <w:r w:rsidRPr="00996C90">
              <w:rPr>
                <w:rFonts w:ascii="Times New Roman" w:hAnsi="Times New Roman"/>
                <w:color w:val="000000"/>
                <w:sz w:val="22"/>
                <w:szCs w:val="22"/>
                <w:lang w:val="es-ES"/>
              </w:rPr>
              <w:t>00</w:t>
            </w:r>
          </w:p>
        </w:tc>
        <w:tc>
          <w:tcPr>
            <w:tcW w:w="2268" w:type="dxa"/>
            <w:tcBorders>
              <w:top w:val="outset" w:sz="6" w:space="0" w:color="auto"/>
              <w:left w:val="outset" w:sz="6" w:space="0" w:color="auto"/>
              <w:bottom w:val="outset" w:sz="6" w:space="0" w:color="auto"/>
              <w:right w:val="outset" w:sz="6" w:space="0" w:color="auto"/>
            </w:tcBorders>
            <w:vAlign w:val="bottom"/>
          </w:tcPr>
          <w:p w14:paraId="2370D3A5"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En adelante</w:t>
            </w:r>
          </w:p>
        </w:tc>
        <w:tc>
          <w:tcPr>
            <w:tcW w:w="1417" w:type="dxa"/>
            <w:tcBorders>
              <w:top w:val="outset" w:sz="6" w:space="0" w:color="auto"/>
              <w:left w:val="outset" w:sz="6" w:space="0" w:color="auto"/>
              <w:bottom w:val="outset" w:sz="6" w:space="0" w:color="auto"/>
              <w:right w:val="outset" w:sz="6" w:space="0" w:color="auto"/>
            </w:tcBorders>
            <w:vAlign w:val="bottom"/>
          </w:tcPr>
          <w:p w14:paraId="3A74304B" w14:textId="77777777" w:rsidR="000F58A3" w:rsidRDefault="000F58A3" w:rsidP="00A72D88">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36,50%</w:t>
            </w:r>
          </w:p>
        </w:tc>
      </w:tr>
    </w:tbl>
    <w:p w14:paraId="7F327335" w14:textId="77777777" w:rsidR="000F58A3" w:rsidRDefault="000F58A3" w:rsidP="000F58A3">
      <w:pPr>
        <w:spacing w:line="280" w:lineRule="atLeast"/>
        <w:ind w:left="1440"/>
        <w:jc w:val="both"/>
        <w:rPr>
          <w:rFonts w:ascii="Times New Roman" w:hAnsi="Times New Roman"/>
          <w:sz w:val="26"/>
          <w:szCs w:val="26"/>
        </w:rPr>
      </w:pPr>
    </w:p>
    <w:p w14:paraId="4D7AC51E" w14:textId="77777777" w:rsidR="0049149F" w:rsidRDefault="0049149F" w:rsidP="00C854F8">
      <w:pPr>
        <w:numPr>
          <w:ilvl w:val="2"/>
          <w:numId w:val="15"/>
        </w:numPr>
        <w:spacing w:line="280" w:lineRule="atLeast"/>
        <w:jc w:val="both"/>
        <w:rPr>
          <w:b/>
          <w:color w:val="000000"/>
          <w:spacing w:val="6"/>
          <w:sz w:val="22"/>
          <w:szCs w:val="22"/>
        </w:rPr>
      </w:pPr>
      <w:bookmarkStart w:id="159" w:name="Consideracionesespecíficas"/>
      <w:bookmarkEnd w:id="159"/>
      <w:r>
        <w:rPr>
          <w:b/>
          <w:color w:val="000000"/>
          <w:spacing w:val="6"/>
          <w:sz w:val="26"/>
          <w:szCs w:val="26"/>
        </w:rPr>
        <w:t>Consideraciones</w:t>
      </w:r>
      <w:r w:rsidR="000C05FC">
        <w:rPr>
          <w:b/>
          <w:color w:val="000000"/>
          <w:spacing w:val="6"/>
          <w:sz w:val="26"/>
          <w:szCs w:val="26"/>
        </w:rPr>
        <w:t xml:space="preserve"> específicas</w:t>
      </w:r>
    </w:p>
    <w:p w14:paraId="79E8FC51" w14:textId="77777777" w:rsidR="00B77906" w:rsidRDefault="00B77906" w:rsidP="005222DF">
      <w:pPr>
        <w:spacing w:line="280" w:lineRule="atLeast"/>
        <w:ind w:left="1440"/>
        <w:jc w:val="both"/>
        <w:rPr>
          <w:rFonts w:ascii="Times New Roman" w:hAnsi="Times New Roman"/>
          <w:color w:val="222222"/>
          <w:sz w:val="26"/>
          <w:szCs w:val="26"/>
          <w:lang w:val="es-ES"/>
        </w:rPr>
      </w:pPr>
      <w:bookmarkStart w:id="160" w:name="_Hlk155457531"/>
      <w:r>
        <w:rPr>
          <w:rFonts w:ascii="Times New Roman" w:hAnsi="Times New Roman"/>
          <w:color w:val="222222"/>
          <w:sz w:val="26"/>
          <w:szCs w:val="26"/>
          <w:lang w:val="es-ES"/>
        </w:rPr>
        <w:t>Debe tenerse en cuenta:</w:t>
      </w:r>
    </w:p>
    <w:bookmarkEnd w:id="160"/>
    <w:p w14:paraId="7A24A942" w14:textId="77777777" w:rsidR="005C281E" w:rsidRDefault="005C281E" w:rsidP="00C854F8">
      <w:pPr>
        <w:numPr>
          <w:ilvl w:val="0"/>
          <w:numId w:val="27"/>
        </w:numPr>
        <w:spacing w:line="280" w:lineRule="atLeast"/>
        <w:ind w:left="1800"/>
        <w:jc w:val="both"/>
        <w:rPr>
          <w:rFonts w:ascii="Times New Roman" w:hAnsi="Times New Roman"/>
          <w:color w:val="222222"/>
          <w:sz w:val="26"/>
          <w:szCs w:val="26"/>
          <w:lang w:val="es-ES"/>
        </w:rPr>
      </w:pPr>
      <w:r>
        <w:rPr>
          <w:rFonts w:ascii="Times New Roman" w:hAnsi="Times New Roman"/>
          <w:color w:val="222222"/>
          <w:sz w:val="26"/>
          <w:szCs w:val="26"/>
          <w:lang w:val="es-ES"/>
        </w:rPr>
        <w:t>Cuando dentro del plazo de 10 años se otorgue más de una donación por parte de un donante a un mismo donatario, se considerarán como una sola transmisión a los efectos de</w:t>
      </w:r>
      <w:r w:rsidR="0049118D">
        <w:rPr>
          <w:rFonts w:ascii="Times New Roman" w:hAnsi="Times New Roman"/>
          <w:color w:val="222222"/>
          <w:sz w:val="26"/>
          <w:szCs w:val="26"/>
          <w:lang w:val="es-ES"/>
        </w:rPr>
        <w:t xml:space="preserve"> </w:t>
      </w:r>
      <w:r>
        <w:rPr>
          <w:rFonts w:ascii="Times New Roman" w:hAnsi="Times New Roman"/>
          <w:color w:val="222222"/>
          <w:sz w:val="26"/>
          <w:szCs w:val="26"/>
          <w:lang w:val="es-ES"/>
        </w:rPr>
        <w:t>la liquidación del impuesto</w:t>
      </w:r>
      <w:r w:rsidR="00B82540" w:rsidRPr="0049118D">
        <w:rPr>
          <w:rStyle w:val="Refdenotaalfinal"/>
          <w:rFonts w:ascii="Times New Roman" w:hAnsi="Times New Roman"/>
          <w:b/>
          <w:color w:val="222222"/>
          <w:sz w:val="26"/>
          <w:szCs w:val="26"/>
          <w:lang w:val="es-ES"/>
        </w:rPr>
        <w:endnoteReference w:id="31"/>
      </w:r>
      <w:r>
        <w:rPr>
          <w:rFonts w:ascii="Times New Roman" w:hAnsi="Times New Roman"/>
          <w:color w:val="222222"/>
          <w:sz w:val="26"/>
          <w:szCs w:val="26"/>
          <w:lang w:val="es-ES"/>
        </w:rPr>
        <w:t>.</w:t>
      </w:r>
    </w:p>
    <w:p w14:paraId="6B7E304D" w14:textId="77777777" w:rsidR="0049118D" w:rsidRDefault="0049118D" w:rsidP="0049118D">
      <w:pPr>
        <w:spacing w:line="280" w:lineRule="atLeast"/>
        <w:ind w:left="1800"/>
        <w:jc w:val="both"/>
        <w:rPr>
          <w:rFonts w:ascii="Times New Roman" w:hAnsi="Times New Roman"/>
          <w:color w:val="222222"/>
          <w:sz w:val="26"/>
          <w:szCs w:val="26"/>
          <w:lang w:val="es-ES"/>
        </w:rPr>
      </w:pPr>
      <w:r>
        <w:rPr>
          <w:rFonts w:ascii="Times New Roman" w:hAnsi="Times New Roman"/>
          <w:color w:val="222222"/>
          <w:sz w:val="26"/>
          <w:szCs w:val="26"/>
          <w:lang w:val="es-ES"/>
        </w:rPr>
        <w:t xml:space="preserve">Parece que ello únicamente </w:t>
      </w:r>
      <w:r w:rsidR="00F6447C">
        <w:rPr>
          <w:rFonts w:ascii="Times New Roman" w:hAnsi="Times New Roman"/>
          <w:color w:val="222222"/>
          <w:sz w:val="26"/>
          <w:szCs w:val="26"/>
          <w:lang w:val="es-ES"/>
        </w:rPr>
        <w:t xml:space="preserve">cuando ambas donaciones estuvieran sujetas a la legislación fiscal asturiana </w:t>
      </w:r>
      <w:r w:rsidR="00B70A2D">
        <w:rPr>
          <w:rFonts w:ascii="Times New Roman" w:hAnsi="Times New Roman"/>
          <w:color w:val="222222"/>
          <w:sz w:val="26"/>
          <w:szCs w:val="26"/>
          <w:lang w:val="es-ES"/>
        </w:rPr>
        <w:t>en orden a la aplicación de</w:t>
      </w:r>
      <w:r w:rsidR="00F6447C">
        <w:rPr>
          <w:rFonts w:ascii="Times New Roman" w:hAnsi="Times New Roman"/>
          <w:color w:val="222222"/>
          <w:sz w:val="26"/>
          <w:szCs w:val="26"/>
          <w:lang w:val="es-ES"/>
        </w:rPr>
        <w:t xml:space="preserve"> su</w:t>
      </w:r>
      <w:r w:rsidR="00B70A2D">
        <w:rPr>
          <w:rFonts w:ascii="Times New Roman" w:hAnsi="Times New Roman"/>
          <w:color w:val="222222"/>
          <w:sz w:val="26"/>
          <w:szCs w:val="26"/>
          <w:lang w:val="es-ES"/>
        </w:rPr>
        <w:t xml:space="preserve"> tipo reducido</w:t>
      </w:r>
      <w:r>
        <w:rPr>
          <w:rFonts w:ascii="Times New Roman" w:hAnsi="Times New Roman"/>
          <w:color w:val="222222"/>
          <w:sz w:val="26"/>
          <w:szCs w:val="26"/>
          <w:lang w:val="es-ES"/>
        </w:rPr>
        <w:t xml:space="preserve"> y sin perjuicio de la acumulación estatal para las efectuadas en el plazo de 3 años</w:t>
      </w:r>
      <w:r w:rsidR="00B70A2D">
        <w:rPr>
          <w:rFonts w:ascii="Times New Roman" w:hAnsi="Times New Roman"/>
          <w:color w:val="222222"/>
          <w:sz w:val="26"/>
          <w:szCs w:val="26"/>
          <w:lang w:val="es-ES"/>
        </w:rPr>
        <w:t>.</w:t>
      </w:r>
    </w:p>
    <w:p w14:paraId="630FE664" w14:textId="77777777" w:rsidR="00412F59" w:rsidRDefault="00B77906" w:rsidP="00C854F8">
      <w:pPr>
        <w:numPr>
          <w:ilvl w:val="0"/>
          <w:numId w:val="27"/>
        </w:numPr>
        <w:spacing w:line="280" w:lineRule="atLeast"/>
        <w:ind w:left="1797" w:hanging="357"/>
        <w:jc w:val="both"/>
        <w:rPr>
          <w:rFonts w:ascii="Times New Roman" w:hAnsi="Times New Roman"/>
          <w:color w:val="222222"/>
          <w:sz w:val="26"/>
          <w:szCs w:val="26"/>
          <w:lang w:val="es-ES"/>
        </w:rPr>
      </w:pPr>
      <w:r w:rsidRPr="002F10B5">
        <w:rPr>
          <w:rFonts w:ascii="Times New Roman" w:hAnsi="Times New Roman"/>
          <w:color w:val="222222"/>
          <w:sz w:val="26"/>
          <w:szCs w:val="26"/>
          <w:lang w:val="es-ES"/>
        </w:rPr>
        <w:t xml:space="preserve">Cuando los bienes donados consistan en metálico o en cualquiera de los contemplados en el </w:t>
      </w:r>
      <w:hyperlink r:id="rId240" w:anchor="a12" w:history="1">
        <w:r w:rsidRPr="002F10B5">
          <w:rPr>
            <w:rStyle w:val="Hipervnculo"/>
            <w:rFonts w:ascii="Times New Roman" w:hAnsi="Times New Roman"/>
            <w:sz w:val="26"/>
            <w:szCs w:val="26"/>
            <w:lang w:val="es-ES"/>
          </w:rPr>
          <w:t>artículo 12 de la Ley del Impuesto sobre el Patrimonio</w:t>
        </w:r>
      </w:hyperlink>
      <w:r w:rsidR="002F10B5" w:rsidRPr="002F10B5">
        <w:rPr>
          <w:rFonts w:ascii="Times New Roman" w:hAnsi="Times New Roman"/>
          <w:color w:val="222222"/>
          <w:sz w:val="26"/>
          <w:szCs w:val="26"/>
          <w:lang w:val="es-ES"/>
        </w:rPr>
        <w:t xml:space="preserve"> (depósitos en cuenta corriente o d</w:t>
      </w:r>
      <w:r w:rsidR="002F10B5">
        <w:rPr>
          <w:rFonts w:ascii="Times New Roman" w:hAnsi="Times New Roman"/>
          <w:color w:val="222222"/>
          <w:sz w:val="26"/>
          <w:szCs w:val="26"/>
          <w:lang w:val="es-ES"/>
        </w:rPr>
        <w:t>e ahorro, a la vista o a plazo)</w:t>
      </w:r>
      <w:r w:rsidRPr="002F10B5">
        <w:rPr>
          <w:rFonts w:ascii="Times New Roman" w:hAnsi="Times New Roman"/>
          <w:color w:val="222222"/>
          <w:sz w:val="26"/>
          <w:szCs w:val="26"/>
          <w:lang w:val="es-ES"/>
        </w:rPr>
        <w:t xml:space="preserve">, deberá justificarse la procedencia de los bienes que el donante transmite y los medios efectivos en virtud de los cuales se </w:t>
      </w:r>
      <w:r w:rsidR="005222DF" w:rsidRPr="002F10B5">
        <w:rPr>
          <w:rFonts w:ascii="Times New Roman" w:hAnsi="Times New Roman"/>
          <w:color w:val="222222"/>
          <w:sz w:val="26"/>
          <w:szCs w:val="26"/>
          <w:lang w:val="es-ES"/>
        </w:rPr>
        <w:t>produce la entrega de lo donado.</w:t>
      </w:r>
    </w:p>
    <w:p w14:paraId="732A1A9A" w14:textId="038AE0A7" w:rsidR="005E2E08" w:rsidRDefault="005E2E08" w:rsidP="00C854F8">
      <w:pPr>
        <w:numPr>
          <w:ilvl w:val="0"/>
          <w:numId w:val="27"/>
        </w:numPr>
        <w:spacing w:line="280" w:lineRule="atLeast"/>
        <w:ind w:left="1797" w:hanging="357"/>
        <w:jc w:val="both"/>
        <w:rPr>
          <w:rFonts w:ascii="Times New Roman" w:hAnsi="Times New Roman"/>
          <w:color w:val="222222"/>
          <w:sz w:val="26"/>
          <w:szCs w:val="26"/>
          <w:lang w:val="es-ES"/>
        </w:rPr>
      </w:pPr>
      <w:r>
        <w:rPr>
          <w:rFonts w:ascii="Times New Roman" w:hAnsi="Times New Roman"/>
          <w:color w:val="222222"/>
          <w:sz w:val="26"/>
          <w:szCs w:val="26"/>
          <w:lang w:val="es-ES"/>
        </w:rPr>
        <w:t>En la exclusión de la vivienda habitual del donatario, no parece limitarse a los 300.000 € del Impuesto sobre el Patrimonio, pues no hay tal remisión. Se reproduce la sempiterna cuestión de si computan los garajes y trasteros, así como los requisitos para que no lo hagan.</w:t>
      </w:r>
    </w:p>
    <w:p w14:paraId="7406843C" w14:textId="77777777" w:rsidR="00410541" w:rsidRDefault="00410541" w:rsidP="00C854F8">
      <w:pPr>
        <w:numPr>
          <w:ilvl w:val="0"/>
          <w:numId w:val="27"/>
        </w:numPr>
        <w:spacing w:line="280" w:lineRule="atLeast"/>
        <w:ind w:left="1797" w:hanging="357"/>
        <w:jc w:val="both"/>
        <w:rPr>
          <w:rFonts w:ascii="Times New Roman" w:hAnsi="Times New Roman"/>
          <w:color w:val="222222"/>
          <w:sz w:val="26"/>
          <w:szCs w:val="26"/>
          <w:lang w:val="es-ES"/>
        </w:rPr>
      </w:pPr>
      <w:r w:rsidRPr="00410541">
        <w:rPr>
          <w:rFonts w:ascii="Times New Roman" w:hAnsi="Times New Roman"/>
          <w:color w:val="222222"/>
          <w:sz w:val="26"/>
          <w:szCs w:val="26"/>
          <w:lang w:val="es-ES"/>
        </w:rPr>
        <w:t xml:space="preserve">Fiscalmente el </w:t>
      </w:r>
      <w:hyperlink r:id="rId241" w:anchor="a24" w:history="1">
        <w:r w:rsidRPr="00410541">
          <w:rPr>
            <w:rStyle w:val="Hipervnculo"/>
            <w:rFonts w:ascii="Times New Roman" w:hAnsi="Times New Roman"/>
            <w:sz w:val="26"/>
            <w:szCs w:val="26"/>
            <w:lang w:val="es-ES"/>
          </w:rPr>
          <w:t>art. 24 del Decreto-legislativo 2/2014</w:t>
        </w:r>
      </w:hyperlink>
      <w:r>
        <w:rPr>
          <w:rFonts w:ascii="Times New Roman" w:hAnsi="Times New Roman"/>
          <w:color w:val="222222"/>
          <w:sz w:val="26"/>
          <w:szCs w:val="26"/>
          <w:lang w:val="es-ES"/>
        </w:rPr>
        <w:t xml:space="preserve"> equipara las</w:t>
      </w:r>
      <w:r w:rsidRPr="00410541">
        <w:rPr>
          <w:rFonts w:ascii="Times New Roman" w:hAnsi="Times New Roman"/>
          <w:color w:val="222222"/>
          <w:sz w:val="26"/>
          <w:szCs w:val="26"/>
          <w:lang w:val="es-ES"/>
        </w:rPr>
        <w:t xml:space="preserve"> parejas de hecho</w:t>
      </w:r>
      <w:r>
        <w:rPr>
          <w:rFonts w:ascii="Times New Roman" w:hAnsi="Times New Roman"/>
          <w:color w:val="222222"/>
          <w:sz w:val="26"/>
          <w:szCs w:val="26"/>
          <w:lang w:val="es-ES"/>
        </w:rPr>
        <w:t xml:space="preserve"> formalizadas</w:t>
      </w:r>
      <w:r w:rsidRPr="00410541">
        <w:rPr>
          <w:rFonts w:ascii="Times New Roman" w:hAnsi="Times New Roman"/>
          <w:color w:val="222222"/>
          <w:sz w:val="26"/>
          <w:szCs w:val="26"/>
          <w:lang w:val="es-ES"/>
        </w:rPr>
        <w:t xml:space="preserve"> al matrimonio a los efectos de las reducciones y coeficientes multiplicadores del Impuesto sobre Sucesiones y Donaciones, pero en rigor no lo hace en relación a la escala reducida aplicable desde 2018</w:t>
      </w:r>
      <w:r w:rsidR="00D30AAE">
        <w:rPr>
          <w:rFonts w:ascii="Times New Roman" w:hAnsi="Times New Roman"/>
          <w:color w:val="222222"/>
          <w:sz w:val="26"/>
          <w:szCs w:val="26"/>
          <w:lang w:val="es-ES"/>
        </w:rPr>
        <w:t xml:space="preserve"> a las donaciones</w:t>
      </w:r>
      <w:r>
        <w:rPr>
          <w:rFonts w:ascii="Times New Roman" w:hAnsi="Times New Roman"/>
          <w:color w:val="222222"/>
          <w:sz w:val="26"/>
          <w:szCs w:val="26"/>
          <w:lang w:val="es-ES"/>
        </w:rPr>
        <w:t>.</w:t>
      </w:r>
    </w:p>
    <w:p w14:paraId="390BDFF1" w14:textId="77777777" w:rsidR="00CB7DE1" w:rsidRPr="002F10B5" w:rsidRDefault="00CB7DE1" w:rsidP="00CB7DE1">
      <w:pPr>
        <w:spacing w:line="280" w:lineRule="atLeast"/>
        <w:ind w:left="1797"/>
        <w:jc w:val="both"/>
        <w:rPr>
          <w:rFonts w:ascii="Times New Roman" w:hAnsi="Times New Roman"/>
          <w:color w:val="222222"/>
          <w:sz w:val="26"/>
          <w:szCs w:val="26"/>
          <w:lang w:val="es-ES"/>
        </w:rPr>
      </w:pPr>
      <w:r>
        <w:rPr>
          <w:rFonts w:ascii="Times New Roman" w:hAnsi="Times New Roman"/>
          <w:color w:val="222222"/>
          <w:sz w:val="26"/>
          <w:szCs w:val="26"/>
          <w:lang w:val="es-ES"/>
        </w:rPr>
        <w:lastRenderedPageBreak/>
        <w:t xml:space="preserve">Sin embargo, </w:t>
      </w:r>
      <w:r w:rsidRPr="00CB7DE1">
        <w:rPr>
          <w:rFonts w:ascii="Times New Roman" w:hAnsi="Times New Roman"/>
          <w:color w:val="222222"/>
          <w:sz w:val="26"/>
          <w:szCs w:val="26"/>
        </w:rPr>
        <w:t xml:space="preserve">la </w:t>
      </w:r>
      <w:hyperlink r:id="rId242" w:history="1">
        <w:r w:rsidRPr="005B6A95">
          <w:rPr>
            <w:rStyle w:val="Hipervnculo"/>
            <w:rFonts w:ascii="Times New Roman" w:hAnsi="Times New Roman"/>
            <w:sz w:val="26"/>
            <w:szCs w:val="26"/>
          </w:rPr>
          <w:t>Consulta Tributaria - Dictamen 1/2019 de la Dirección General de Finanzas y Economía de la Consejería de Hacienda y Sector Público</w:t>
        </w:r>
      </w:hyperlink>
      <w:r>
        <w:rPr>
          <w:rFonts w:ascii="Times New Roman" w:hAnsi="Times New Roman"/>
          <w:color w:val="222222"/>
          <w:sz w:val="26"/>
          <w:szCs w:val="26"/>
        </w:rPr>
        <w:t xml:space="preserve"> entiende que sí les es aplicable tal escala reducida, pues “</w:t>
      </w:r>
      <w:r w:rsidR="002830BD" w:rsidRPr="002830BD">
        <w:rPr>
          <w:rFonts w:ascii="Times New Roman" w:hAnsi="Times New Roman"/>
          <w:i/>
          <w:color w:val="222222"/>
          <w:sz w:val="26"/>
          <w:szCs w:val="26"/>
        </w:rPr>
        <w:t xml:space="preserve">... </w:t>
      </w:r>
      <w:r w:rsidRPr="002830BD">
        <w:rPr>
          <w:rFonts w:ascii="Times New Roman" w:hAnsi="Times New Roman"/>
          <w:i/>
          <w:color w:val="222222"/>
          <w:sz w:val="26"/>
          <w:szCs w:val="26"/>
        </w:rPr>
        <w:t>ha de entenderse que toda referencia que realiza la norma autonómica a los grupos de parentesco ha de vincularse necesariamente al artículo 20 y en consecuencia, las menciones que se llevan a cabo en el Texto Refundido al grupo II de parentesco se extienden tanto a descendientes y adoptados de veintiuno o más años, cónyuges, ascendientes y adoptantes como a miembros de parejas estables y acogimientos familiares permanentes o preadoptivos...</w:t>
      </w:r>
      <w:r>
        <w:rPr>
          <w:rFonts w:ascii="Times New Roman" w:hAnsi="Times New Roman"/>
          <w:color w:val="222222"/>
          <w:sz w:val="26"/>
          <w:szCs w:val="26"/>
        </w:rPr>
        <w:t>”.</w:t>
      </w:r>
    </w:p>
    <w:p w14:paraId="179AFAFE" w14:textId="77777777" w:rsidR="00412F59" w:rsidRDefault="00412F59" w:rsidP="00C854F8">
      <w:pPr>
        <w:numPr>
          <w:ilvl w:val="2"/>
          <w:numId w:val="15"/>
        </w:numPr>
        <w:spacing w:line="280" w:lineRule="atLeast"/>
        <w:ind w:left="1225" w:hanging="505"/>
        <w:jc w:val="both"/>
        <w:rPr>
          <w:rFonts w:ascii="Times New Roman" w:hAnsi="Times New Roman"/>
          <w:b/>
          <w:color w:val="222222"/>
          <w:sz w:val="26"/>
          <w:szCs w:val="26"/>
        </w:rPr>
      </w:pPr>
      <w:bookmarkStart w:id="161" w:name="tratamiento332"/>
      <w:bookmarkEnd w:id="161"/>
      <w:r>
        <w:rPr>
          <w:rFonts w:ascii="Times New Roman" w:hAnsi="Times New Roman"/>
          <w:b/>
          <w:color w:val="222222"/>
          <w:sz w:val="26"/>
          <w:szCs w:val="26"/>
        </w:rPr>
        <w:t>Tratamiento notarial</w:t>
      </w:r>
    </w:p>
    <w:p w14:paraId="2F9B9EF7" w14:textId="77777777" w:rsidR="00462E1B" w:rsidRPr="00462E1B" w:rsidRDefault="00462E1B" w:rsidP="00C854F8">
      <w:pPr>
        <w:numPr>
          <w:ilvl w:val="0"/>
          <w:numId w:val="32"/>
        </w:numPr>
        <w:spacing w:line="280" w:lineRule="atLeast"/>
        <w:ind w:left="1800"/>
        <w:jc w:val="both"/>
        <w:rPr>
          <w:spacing w:val="6"/>
          <w:sz w:val="26"/>
          <w:szCs w:val="26"/>
        </w:rPr>
      </w:pPr>
      <w:r w:rsidRPr="00462E1B">
        <w:rPr>
          <w:spacing w:val="6"/>
          <w:sz w:val="26"/>
          <w:szCs w:val="26"/>
        </w:rPr>
        <w:t>Tener presentes las normas de conflicto para la determinación de la sujeción, competencia y legislación aplicable.</w:t>
      </w:r>
    </w:p>
    <w:p w14:paraId="002E4885" w14:textId="77777777" w:rsidR="00462E1B" w:rsidRDefault="00462E1B" w:rsidP="00C854F8">
      <w:pPr>
        <w:numPr>
          <w:ilvl w:val="0"/>
          <w:numId w:val="32"/>
        </w:numPr>
        <w:spacing w:line="280" w:lineRule="atLeast"/>
        <w:ind w:left="1800"/>
        <w:jc w:val="both"/>
        <w:rPr>
          <w:spacing w:val="6"/>
          <w:sz w:val="26"/>
          <w:szCs w:val="26"/>
        </w:rPr>
      </w:pPr>
      <w:r w:rsidRPr="00462E1B">
        <w:rPr>
          <w:spacing w:val="6"/>
          <w:sz w:val="26"/>
          <w:szCs w:val="26"/>
        </w:rPr>
        <w:t>No perder de vista las siguientes donaciones:</w:t>
      </w:r>
    </w:p>
    <w:p w14:paraId="0AA0C12E" w14:textId="77777777" w:rsidR="00E0409B" w:rsidRPr="00462E1B" w:rsidRDefault="00E0409B" w:rsidP="00E0409B">
      <w:pPr>
        <w:spacing w:line="280" w:lineRule="atLeast"/>
        <w:ind w:left="1800"/>
        <w:jc w:val="both"/>
        <w:rPr>
          <w:spacing w:val="6"/>
          <w:sz w:val="26"/>
          <w:szCs w:val="26"/>
        </w:rPr>
      </w:pPr>
      <w:r>
        <w:rPr>
          <w:spacing w:val="6"/>
          <w:sz w:val="26"/>
          <w:szCs w:val="26"/>
        </w:rPr>
        <w:t>- Dineraria: si la transferencia se realizó con una antelación superior al plazo de liquidación del impuesto, r</w:t>
      </w:r>
      <w:proofErr w:type="spellStart"/>
      <w:r w:rsidRPr="00E0409B">
        <w:rPr>
          <w:iCs/>
          <w:spacing w:val="6"/>
          <w:sz w:val="26"/>
          <w:szCs w:val="26"/>
          <w:lang w:val="es-ES"/>
        </w:rPr>
        <w:t>esulta</w:t>
      </w:r>
      <w:proofErr w:type="spellEnd"/>
      <w:r w:rsidRPr="00E0409B">
        <w:rPr>
          <w:iCs/>
          <w:spacing w:val="6"/>
          <w:sz w:val="26"/>
          <w:szCs w:val="26"/>
          <w:lang w:val="es-ES"/>
        </w:rPr>
        <w:t xml:space="preserve"> conveniente proceder al reconocimiento de la deuda y sólo después a su condonación</w:t>
      </w:r>
      <w:r w:rsidR="00BE1F47">
        <w:rPr>
          <w:iCs/>
          <w:spacing w:val="6"/>
          <w:sz w:val="26"/>
          <w:szCs w:val="26"/>
          <w:lang w:val="es-ES"/>
        </w:rPr>
        <w:t xml:space="preserve">. </w:t>
      </w:r>
      <w:r w:rsidR="00C31E53">
        <w:rPr>
          <w:iCs/>
          <w:spacing w:val="6"/>
          <w:sz w:val="26"/>
          <w:szCs w:val="26"/>
          <w:lang w:val="es-ES"/>
        </w:rPr>
        <w:t>Y aun dentro del plazo de liquidación del impuesto, podría entenderse que si se ha dispuesto de los fondos ya se perfeccionó y que no cabe el tipo reducido por su formalización en escritura pública, al ser ésta posterior.</w:t>
      </w:r>
    </w:p>
    <w:p w14:paraId="541FB14A" w14:textId="77777777" w:rsidR="00462E1B" w:rsidRPr="00462E1B" w:rsidRDefault="00462E1B" w:rsidP="00462E1B">
      <w:pPr>
        <w:spacing w:line="280" w:lineRule="atLeast"/>
        <w:ind w:left="1800"/>
        <w:jc w:val="both"/>
        <w:rPr>
          <w:iCs/>
          <w:spacing w:val="6"/>
          <w:sz w:val="26"/>
          <w:szCs w:val="26"/>
        </w:rPr>
      </w:pPr>
      <w:r w:rsidRPr="00462E1B">
        <w:rPr>
          <w:spacing w:val="6"/>
          <w:sz w:val="26"/>
          <w:szCs w:val="26"/>
        </w:rPr>
        <w:t>- N</w:t>
      </w:r>
      <w:r w:rsidRPr="00462E1B">
        <w:rPr>
          <w:iCs/>
          <w:spacing w:val="6"/>
          <w:sz w:val="26"/>
          <w:szCs w:val="26"/>
        </w:rPr>
        <w:t>o dineraria: puede manifestar en el donante una ganancia patrimonial sujeta al IRPF.</w:t>
      </w:r>
    </w:p>
    <w:p w14:paraId="5EE15936" w14:textId="77777777" w:rsidR="00462E1B" w:rsidRPr="00462E1B" w:rsidRDefault="00462E1B" w:rsidP="00462E1B">
      <w:pPr>
        <w:spacing w:line="280" w:lineRule="atLeast"/>
        <w:ind w:left="1800"/>
        <w:jc w:val="both"/>
        <w:rPr>
          <w:iCs/>
          <w:spacing w:val="6"/>
          <w:sz w:val="26"/>
          <w:szCs w:val="26"/>
        </w:rPr>
      </w:pPr>
      <w:r w:rsidRPr="00462E1B">
        <w:rPr>
          <w:iCs/>
          <w:spacing w:val="6"/>
          <w:sz w:val="26"/>
          <w:szCs w:val="26"/>
        </w:rPr>
        <w:t>- Inmueble urbano: susceptible de quedar sujeta a “plusvalía municipal”.</w:t>
      </w:r>
    </w:p>
    <w:p w14:paraId="06284868" w14:textId="77777777" w:rsidR="00462E1B" w:rsidRPr="00462E1B" w:rsidRDefault="00462E1B" w:rsidP="00462E1B">
      <w:pPr>
        <w:spacing w:line="280" w:lineRule="atLeast"/>
        <w:ind w:left="1800"/>
        <w:jc w:val="both"/>
        <w:rPr>
          <w:iCs/>
          <w:spacing w:val="6"/>
          <w:sz w:val="26"/>
          <w:szCs w:val="26"/>
          <w:lang w:val="es-ES"/>
        </w:rPr>
      </w:pPr>
      <w:r w:rsidRPr="00462E1B">
        <w:rPr>
          <w:iCs/>
          <w:spacing w:val="6"/>
          <w:sz w:val="26"/>
          <w:szCs w:val="26"/>
        </w:rPr>
        <w:t xml:space="preserve">- Usufructo: se </w:t>
      </w:r>
      <w:r w:rsidRPr="00462E1B">
        <w:rPr>
          <w:iCs/>
          <w:spacing w:val="6"/>
          <w:sz w:val="26"/>
          <w:szCs w:val="26"/>
          <w:lang w:val="es-ES"/>
        </w:rPr>
        <w:t>exigirá al nudo propietario la mayor de las liquidaciones entre la correspondiente a la consolidación por muerte del usufructuario o por cumplimiento del plazo, y la correspondiente al negocio jurídico en cuya virtud se extingue el usufructo.</w:t>
      </w:r>
    </w:p>
    <w:p w14:paraId="526E84D0" w14:textId="77777777" w:rsidR="00462E1B" w:rsidRPr="00462E1B" w:rsidRDefault="00462E1B" w:rsidP="00462E1B">
      <w:pPr>
        <w:spacing w:line="280" w:lineRule="atLeast"/>
        <w:ind w:left="1800"/>
        <w:jc w:val="both"/>
        <w:rPr>
          <w:spacing w:val="6"/>
          <w:sz w:val="26"/>
          <w:szCs w:val="26"/>
        </w:rPr>
      </w:pPr>
      <w:r w:rsidRPr="00462E1B">
        <w:rPr>
          <w:iCs/>
          <w:spacing w:val="6"/>
          <w:sz w:val="26"/>
          <w:szCs w:val="26"/>
        </w:rPr>
        <w:t>Por todo ello es conveniente repasar las consideraciones generales que se hacen en el apartado 3</w:t>
      </w:r>
      <w:r w:rsidR="00B851BD">
        <w:rPr>
          <w:iCs/>
          <w:spacing w:val="6"/>
          <w:sz w:val="26"/>
          <w:szCs w:val="26"/>
        </w:rPr>
        <w:t>.1</w:t>
      </w:r>
      <w:r w:rsidRPr="00462E1B">
        <w:rPr>
          <w:iCs/>
          <w:spacing w:val="6"/>
          <w:sz w:val="26"/>
          <w:szCs w:val="26"/>
        </w:rPr>
        <w:t>.</w:t>
      </w:r>
    </w:p>
    <w:p w14:paraId="74EA00E4" w14:textId="77777777" w:rsidR="00995B14" w:rsidRPr="000F0906" w:rsidRDefault="00995B14" w:rsidP="00C854F8">
      <w:pPr>
        <w:numPr>
          <w:ilvl w:val="1"/>
          <w:numId w:val="27"/>
        </w:numPr>
        <w:spacing w:line="280" w:lineRule="atLeast"/>
        <w:jc w:val="both"/>
        <w:rPr>
          <w:rFonts w:ascii="Times New Roman" w:hAnsi="Times New Roman"/>
          <w:b/>
          <w:color w:val="222222"/>
          <w:sz w:val="26"/>
          <w:szCs w:val="26"/>
          <w:lang w:val="es-ES"/>
        </w:rPr>
      </w:pPr>
      <w:r w:rsidRPr="000F0906">
        <w:rPr>
          <w:spacing w:val="6"/>
          <w:sz w:val="26"/>
          <w:szCs w:val="26"/>
        </w:rPr>
        <w:t>Habrá de incluirse la sig</w:t>
      </w:r>
      <w:r w:rsidRPr="000F0906">
        <w:rPr>
          <w:rFonts w:ascii="CG Times" w:hAnsi="CG Times"/>
          <w:sz w:val="26"/>
          <w:szCs w:val="26"/>
        </w:rPr>
        <w:t>uiente cláusula en la Exposición:</w:t>
      </w:r>
    </w:p>
    <w:p w14:paraId="50312928" w14:textId="77777777" w:rsidR="00995B14" w:rsidRPr="00A675BD" w:rsidRDefault="00995B14" w:rsidP="000F0906">
      <w:pPr>
        <w:spacing w:line="280" w:lineRule="atLeast"/>
        <w:ind w:left="1872"/>
        <w:jc w:val="both"/>
        <w:rPr>
          <w:spacing w:val="6"/>
          <w:sz w:val="26"/>
          <w:szCs w:val="26"/>
        </w:rPr>
      </w:pPr>
      <w:r>
        <w:rPr>
          <w:spacing w:val="6"/>
          <w:sz w:val="26"/>
          <w:szCs w:val="26"/>
        </w:rPr>
        <w:t>"</w:t>
      </w:r>
      <w:r>
        <w:rPr>
          <w:b/>
          <w:spacing w:val="6"/>
          <w:sz w:val="26"/>
          <w:szCs w:val="26"/>
        </w:rPr>
        <w:t xml:space="preserve">E) </w:t>
      </w:r>
      <w:r w:rsidRPr="003F1811">
        <w:rPr>
          <w:b/>
          <w:spacing w:val="6"/>
          <w:sz w:val="26"/>
          <w:szCs w:val="26"/>
        </w:rPr>
        <w:t xml:space="preserve">Declaraciones fiscales.- </w:t>
      </w:r>
      <w:r w:rsidRPr="00A675BD">
        <w:rPr>
          <w:spacing w:val="6"/>
          <w:sz w:val="26"/>
          <w:szCs w:val="26"/>
        </w:rPr>
        <w:t>Manifiesta</w:t>
      </w:r>
      <w:r>
        <w:rPr>
          <w:spacing w:val="6"/>
          <w:sz w:val="26"/>
          <w:szCs w:val="26"/>
        </w:rPr>
        <w:t xml:space="preserve"> el/la</w:t>
      </w:r>
      <w:r w:rsidRPr="00A675BD">
        <w:rPr>
          <w:spacing w:val="6"/>
          <w:sz w:val="26"/>
          <w:szCs w:val="26"/>
        </w:rPr>
        <w:t xml:space="preserve"> donatari</w:t>
      </w:r>
      <w:r>
        <w:rPr>
          <w:spacing w:val="6"/>
          <w:sz w:val="26"/>
          <w:szCs w:val="26"/>
        </w:rPr>
        <w:t>o/a</w:t>
      </w:r>
      <w:r w:rsidRPr="00A675BD">
        <w:rPr>
          <w:spacing w:val="6"/>
          <w:sz w:val="26"/>
          <w:szCs w:val="26"/>
        </w:rPr>
        <w:t xml:space="preserve">, </w:t>
      </w:r>
      <w:r>
        <w:rPr>
          <w:spacing w:val="6"/>
          <w:sz w:val="26"/>
          <w:szCs w:val="26"/>
        </w:rPr>
        <w:t xml:space="preserve">corroborando en lo pertinente el/los donante/s, </w:t>
      </w:r>
      <w:r w:rsidRPr="00A675BD">
        <w:rPr>
          <w:spacing w:val="6"/>
          <w:sz w:val="26"/>
          <w:szCs w:val="26"/>
        </w:rPr>
        <w:t xml:space="preserve">a los efectos previstos en el </w:t>
      </w:r>
      <w:hyperlink r:id="rId243" w:history="1">
        <w:r w:rsidRPr="00995B14">
          <w:rPr>
            <w:rStyle w:val="Hipervnculo"/>
            <w:bCs/>
            <w:spacing w:val="6"/>
            <w:sz w:val="26"/>
            <w:szCs w:val="26"/>
          </w:rPr>
          <w:t>Decreto-legislativo 2/2014, de 22 de octubre, por el que se aprueba el Texto Refundido de las disposiciones legales del Principado de Asturias en materia de tributos cedidos por el Estado</w:t>
        </w:r>
      </w:hyperlink>
      <w:r>
        <w:rPr>
          <w:spacing w:val="6"/>
          <w:sz w:val="26"/>
          <w:szCs w:val="26"/>
        </w:rPr>
        <w:t>:</w:t>
      </w:r>
    </w:p>
    <w:p w14:paraId="0904C6F7" w14:textId="77777777" w:rsidR="00995B14" w:rsidRPr="00A675BD" w:rsidRDefault="001B425F" w:rsidP="000F0906">
      <w:pPr>
        <w:spacing w:line="280" w:lineRule="atLeast"/>
        <w:ind w:left="1872"/>
        <w:jc w:val="both"/>
        <w:rPr>
          <w:spacing w:val="6"/>
          <w:sz w:val="26"/>
          <w:szCs w:val="26"/>
        </w:rPr>
      </w:pPr>
      <w:r>
        <w:rPr>
          <w:spacing w:val="6"/>
          <w:sz w:val="26"/>
          <w:szCs w:val="26"/>
        </w:rPr>
        <w:t>1</w:t>
      </w:r>
      <w:r w:rsidR="00995B14" w:rsidRPr="00A675BD">
        <w:rPr>
          <w:spacing w:val="6"/>
          <w:sz w:val="26"/>
          <w:szCs w:val="26"/>
        </w:rPr>
        <w:t>º.- Que</w:t>
      </w:r>
      <w:r w:rsidR="00995B14">
        <w:rPr>
          <w:spacing w:val="6"/>
          <w:sz w:val="26"/>
          <w:szCs w:val="26"/>
        </w:rPr>
        <w:t xml:space="preserve"> es ***</w:t>
      </w:r>
      <w:r w:rsidR="00995B14" w:rsidRPr="000C6FA8">
        <w:rPr>
          <w:i/>
          <w:spacing w:val="6"/>
          <w:sz w:val="26"/>
          <w:szCs w:val="26"/>
        </w:rPr>
        <w:t>parentesco</w:t>
      </w:r>
      <w:r w:rsidR="00995B14" w:rsidRPr="00A675BD">
        <w:rPr>
          <w:spacing w:val="6"/>
          <w:sz w:val="26"/>
          <w:szCs w:val="26"/>
        </w:rPr>
        <w:t xml:space="preserve"> de</w:t>
      </w:r>
      <w:r w:rsidR="00995B14">
        <w:rPr>
          <w:spacing w:val="6"/>
          <w:sz w:val="26"/>
          <w:szCs w:val="26"/>
        </w:rPr>
        <w:t>l/</w:t>
      </w:r>
      <w:r w:rsidR="00995B14" w:rsidRPr="00A675BD">
        <w:rPr>
          <w:spacing w:val="6"/>
          <w:sz w:val="26"/>
          <w:szCs w:val="26"/>
        </w:rPr>
        <w:t>los donante</w:t>
      </w:r>
      <w:r w:rsidR="00995B14">
        <w:rPr>
          <w:spacing w:val="6"/>
          <w:sz w:val="26"/>
          <w:szCs w:val="26"/>
        </w:rPr>
        <w:t>/</w:t>
      </w:r>
      <w:r w:rsidR="00995B14" w:rsidRPr="00A675BD">
        <w:rPr>
          <w:spacing w:val="6"/>
          <w:sz w:val="26"/>
          <w:szCs w:val="26"/>
        </w:rPr>
        <w:t xml:space="preserve">s y que se incluye en el </w:t>
      </w:r>
      <w:r w:rsidR="00995B14">
        <w:rPr>
          <w:spacing w:val="6"/>
          <w:sz w:val="26"/>
          <w:szCs w:val="26"/>
        </w:rPr>
        <w:t>***Grupo I (descendientes hasta 21 años) ***</w:t>
      </w:r>
      <w:r w:rsidR="00995B14" w:rsidRPr="00A675BD">
        <w:rPr>
          <w:spacing w:val="6"/>
          <w:sz w:val="26"/>
          <w:szCs w:val="26"/>
        </w:rPr>
        <w:t>Grupo II</w:t>
      </w:r>
      <w:r w:rsidR="00995B14">
        <w:rPr>
          <w:spacing w:val="6"/>
          <w:sz w:val="26"/>
          <w:szCs w:val="26"/>
        </w:rPr>
        <w:t xml:space="preserve"> (descendientes de 21 años o más, ascendientes y cónyuge)</w:t>
      </w:r>
      <w:r w:rsidR="00995B14" w:rsidRPr="00A675BD">
        <w:rPr>
          <w:spacing w:val="6"/>
          <w:sz w:val="26"/>
          <w:szCs w:val="26"/>
        </w:rPr>
        <w:t xml:space="preserve"> del </w:t>
      </w:r>
      <w:hyperlink r:id="rId244" w:anchor="I277" w:history="1">
        <w:r w:rsidR="00995B14" w:rsidRPr="00A675BD">
          <w:rPr>
            <w:rStyle w:val="Hipervnculo"/>
            <w:spacing w:val="6"/>
            <w:sz w:val="26"/>
            <w:szCs w:val="26"/>
          </w:rPr>
          <w:t>artículo 20.2.a) de la Ley 29/1987, de 18 de diciembre, del Impuesto sobre Sucesiones y Donaciones</w:t>
        </w:r>
      </w:hyperlink>
      <w:r w:rsidR="00995B14" w:rsidRPr="00A675BD">
        <w:rPr>
          <w:spacing w:val="6"/>
          <w:sz w:val="26"/>
          <w:szCs w:val="26"/>
        </w:rPr>
        <w:t>.</w:t>
      </w:r>
      <w:r w:rsidR="00995B14" w:rsidRPr="00A675BD">
        <w:rPr>
          <w:spacing w:val="6"/>
          <w:sz w:val="26"/>
          <w:szCs w:val="26"/>
        </w:rPr>
        <w:tab/>
      </w:r>
    </w:p>
    <w:p w14:paraId="1751A6A2" w14:textId="77777777" w:rsidR="001F7F19" w:rsidRDefault="001B425F" w:rsidP="000F0906">
      <w:pPr>
        <w:spacing w:line="280" w:lineRule="atLeast"/>
        <w:ind w:left="1872"/>
        <w:jc w:val="both"/>
        <w:rPr>
          <w:rFonts w:ascii="Times New Roman" w:hAnsi="Times New Roman"/>
          <w:sz w:val="26"/>
          <w:szCs w:val="26"/>
        </w:rPr>
      </w:pPr>
      <w:r>
        <w:rPr>
          <w:color w:val="000000"/>
          <w:spacing w:val="6"/>
          <w:sz w:val="26"/>
          <w:szCs w:val="26"/>
        </w:rPr>
        <w:lastRenderedPageBreak/>
        <w:t>2</w:t>
      </w:r>
      <w:r w:rsidR="00995B14" w:rsidRPr="00BB45FB">
        <w:rPr>
          <w:color w:val="000000"/>
          <w:spacing w:val="6"/>
          <w:sz w:val="26"/>
          <w:szCs w:val="26"/>
        </w:rPr>
        <w:t>º.- Que su patrimonio preexistente</w:t>
      </w:r>
      <w:r w:rsidR="001F7F19" w:rsidRPr="00BB45FB">
        <w:rPr>
          <w:rFonts w:ascii="Times New Roman" w:hAnsi="Times New Roman"/>
          <w:color w:val="000000"/>
          <w:sz w:val="26"/>
          <w:szCs w:val="26"/>
        </w:rPr>
        <w:t xml:space="preserve"> (con exclusión de la</w:t>
      </w:r>
      <w:r w:rsidR="001F7F19">
        <w:rPr>
          <w:rFonts w:ascii="Times New Roman" w:hAnsi="Times New Roman"/>
          <w:sz w:val="26"/>
          <w:szCs w:val="26"/>
        </w:rPr>
        <w:t xml:space="preserve"> vivienda habitual) es inferior a 402.678,11 €uros.</w:t>
      </w:r>
    </w:p>
    <w:p w14:paraId="32725178" w14:textId="77777777" w:rsidR="002B0CEF" w:rsidRDefault="002B0CEF" w:rsidP="0029765A">
      <w:pPr>
        <w:ind w:left="1871"/>
        <w:jc w:val="both"/>
        <w:rPr>
          <w:spacing w:val="6"/>
          <w:sz w:val="26"/>
          <w:szCs w:val="26"/>
        </w:rPr>
      </w:pPr>
      <w:r>
        <w:rPr>
          <w:spacing w:val="6"/>
          <w:sz w:val="26"/>
          <w:szCs w:val="26"/>
        </w:rPr>
        <w:t xml:space="preserve">3º.- Que el donatario no ha recibido del donante ninguna donación anterior dentro de los 10 últimos años, a los efectos de acumulación de la </w:t>
      </w:r>
      <w:r w:rsidR="00476033">
        <w:rPr>
          <w:spacing w:val="6"/>
          <w:sz w:val="26"/>
          <w:szCs w:val="26"/>
        </w:rPr>
        <w:t>ba</w:t>
      </w:r>
      <w:r>
        <w:rPr>
          <w:spacing w:val="6"/>
          <w:sz w:val="26"/>
          <w:szCs w:val="26"/>
        </w:rPr>
        <w:t>se imponible y aplicación del tipo reducido</w:t>
      </w:r>
      <w:r w:rsidRPr="00BE1F47">
        <w:rPr>
          <w:spacing w:val="6"/>
          <w:sz w:val="26"/>
          <w:szCs w:val="26"/>
        </w:rPr>
        <w:t>.</w:t>
      </w:r>
    </w:p>
    <w:p w14:paraId="66AC4068" w14:textId="77777777" w:rsidR="00476033" w:rsidRDefault="00476033" w:rsidP="0029765A">
      <w:pPr>
        <w:ind w:left="1871"/>
        <w:jc w:val="both"/>
        <w:rPr>
          <w:spacing w:val="6"/>
          <w:sz w:val="26"/>
          <w:szCs w:val="26"/>
        </w:rPr>
      </w:pPr>
      <w:r>
        <w:rPr>
          <w:spacing w:val="6"/>
          <w:sz w:val="26"/>
          <w:szCs w:val="26"/>
        </w:rPr>
        <w:t>*** Que el donatario ha recibido del donante las siguientes donaciones dentro de los últimos 10 años:</w:t>
      </w:r>
    </w:p>
    <w:p w14:paraId="792FD17C" w14:textId="77777777" w:rsidR="00476033" w:rsidRDefault="00476033" w:rsidP="0029765A">
      <w:pPr>
        <w:ind w:left="1871"/>
        <w:jc w:val="both"/>
        <w:rPr>
          <w:spacing w:val="6"/>
          <w:sz w:val="26"/>
          <w:szCs w:val="26"/>
        </w:rPr>
      </w:pPr>
      <w:r>
        <w:rPr>
          <w:spacing w:val="6"/>
          <w:sz w:val="26"/>
          <w:szCs w:val="26"/>
        </w:rPr>
        <w:t>- Por valor de ***, formalizada en escritura autorizada por el Notario de Oviedo Don Vicente Martorell García, el día ***, número *** de protocolo.</w:t>
      </w:r>
    </w:p>
    <w:p w14:paraId="3A847DFB" w14:textId="77777777" w:rsidR="003425AD" w:rsidRDefault="0029765A" w:rsidP="000F0906">
      <w:pPr>
        <w:spacing w:line="280" w:lineRule="atLeast"/>
        <w:ind w:left="1872"/>
        <w:jc w:val="both"/>
        <w:rPr>
          <w:spacing w:val="6"/>
          <w:sz w:val="26"/>
          <w:szCs w:val="26"/>
        </w:rPr>
      </w:pPr>
      <w:r>
        <w:rPr>
          <w:color w:val="000000"/>
          <w:spacing w:val="6"/>
          <w:sz w:val="26"/>
          <w:szCs w:val="26"/>
        </w:rPr>
        <w:t>4</w:t>
      </w:r>
      <w:r w:rsidR="00995B14" w:rsidRPr="00BB45FB">
        <w:rPr>
          <w:color w:val="000000"/>
          <w:spacing w:val="6"/>
          <w:sz w:val="26"/>
          <w:szCs w:val="26"/>
        </w:rPr>
        <w:t xml:space="preserve">º.- Que es de aplicación a esta transmisión la </w:t>
      </w:r>
      <w:r w:rsidR="00483A57" w:rsidRPr="00BB45FB">
        <w:rPr>
          <w:color w:val="000000"/>
          <w:spacing w:val="6"/>
          <w:sz w:val="26"/>
          <w:szCs w:val="26"/>
        </w:rPr>
        <w:t>tarifa</w:t>
      </w:r>
      <w:r w:rsidR="00995B14" w:rsidRPr="00BB45FB">
        <w:rPr>
          <w:color w:val="000000"/>
          <w:spacing w:val="6"/>
          <w:sz w:val="26"/>
          <w:szCs w:val="26"/>
        </w:rPr>
        <w:t xml:space="preserve"> prevista</w:t>
      </w:r>
      <w:r w:rsidR="00995B14" w:rsidRPr="00A675BD">
        <w:rPr>
          <w:spacing w:val="6"/>
          <w:sz w:val="26"/>
          <w:szCs w:val="26"/>
        </w:rPr>
        <w:t xml:space="preserve"> en el </w:t>
      </w:r>
      <w:hyperlink r:id="rId245" w:anchor="a21" w:history="1">
        <w:r w:rsidR="00483A57" w:rsidRPr="003E0E26">
          <w:rPr>
            <w:rStyle w:val="Hipervnculo"/>
            <w:spacing w:val="6"/>
            <w:sz w:val="26"/>
            <w:szCs w:val="26"/>
          </w:rPr>
          <w:t>art. 21-3 del Decreto-legislativo asturiano 2/2014</w:t>
        </w:r>
      </w:hyperlink>
      <w:r w:rsidR="00483A57">
        <w:rPr>
          <w:color w:val="000000"/>
          <w:spacing w:val="6"/>
          <w:sz w:val="26"/>
          <w:szCs w:val="26"/>
        </w:rPr>
        <w:t xml:space="preserve"> (</w:t>
      </w:r>
      <w:r w:rsidR="001737E1">
        <w:rPr>
          <w:color w:val="000000"/>
          <w:spacing w:val="6"/>
          <w:sz w:val="26"/>
          <w:szCs w:val="26"/>
        </w:rPr>
        <w:t>modificado por la Ley 4/2023</w:t>
      </w:r>
      <w:r w:rsidR="00483A57">
        <w:rPr>
          <w:rFonts w:ascii="Times New Roman" w:hAnsi="Times New Roman"/>
          <w:sz w:val="26"/>
          <w:szCs w:val="26"/>
        </w:rPr>
        <w:t xml:space="preserve">, en vigor </w:t>
      </w:r>
      <w:r w:rsidR="001737E1">
        <w:rPr>
          <w:rFonts w:ascii="Times New Roman" w:hAnsi="Times New Roman"/>
          <w:sz w:val="26"/>
          <w:szCs w:val="26"/>
        </w:rPr>
        <w:t>desde el</w:t>
      </w:r>
      <w:r w:rsidR="00483A57">
        <w:rPr>
          <w:rFonts w:ascii="Times New Roman" w:hAnsi="Times New Roman"/>
          <w:sz w:val="26"/>
          <w:szCs w:val="26"/>
        </w:rPr>
        <w:t xml:space="preserve"> 1 de enero de 20</w:t>
      </w:r>
      <w:r w:rsidR="001737E1">
        <w:rPr>
          <w:rFonts w:ascii="Times New Roman" w:hAnsi="Times New Roman"/>
          <w:sz w:val="26"/>
          <w:szCs w:val="26"/>
        </w:rPr>
        <w:t>24</w:t>
      </w:r>
      <w:r w:rsidR="00483A57">
        <w:rPr>
          <w:rFonts w:ascii="Times New Roman" w:hAnsi="Times New Roman"/>
          <w:sz w:val="26"/>
          <w:szCs w:val="26"/>
        </w:rPr>
        <w:t>)</w:t>
      </w:r>
      <w:r w:rsidR="000F6A91">
        <w:rPr>
          <w:spacing w:val="6"/>
          <w:sz w:val="26"/>
          <w:szCs w:val="26"/>
        </w:rPr>
        <w:t xml:space="preserve">, que para bases imponibles </w:t>
      </w:r>
      <w:r w:rsidR="00672EA2">
        <w:rPr>
          <w:spacing w:val="6"/>
          <w:sz w:val="26"/>
          <w:szCs w:val="26"/>
        </w:rPr>
        <w:t>no superiores</w:t>
      </w:r>
      <w:r w:rsidR="000F6A91">
        <w:rPr>
          <w:spacing w:val="6"/>
          <w:sz w:val="26"/>
          <w:szCs w:val="26"/>
        </w:rPr>
        <w:t xml:space="preserve"> a 150.000 € aplica un tipo del 2%</w:t>
      </w:r>
      <w:r w:rsidR="00693377">
        <w:rPr>
          <w:spacing w:val="6"/>
          <w:sz w:val="26"/>
          <w:szCs w:val="26"/>
        </w:rPr>
        <w:t>.</w:t>
      </w:r>
    </w:p>
    <w:p w14:paraId="07E1CA72" w14:textId="77777777" w:rsidR="001B425F" w:rsidRDefault="0029765A" w:rsidP="000F0906">
      <w:pPr>
        <w:spacing w:line="280" w:lineRule="atLeast"/>
        <w:ind w:left="1872"/>
        <w:jc w:val="both"/>
        <w:rPr>
          <w:spacing w:val="6"/>
          <w:sz w:val="26"/>
          <w:szCs w:val="26"/>
        </w:rPr>
      </w:pPr>
      <w:bookmarkStart w:id="162" w:name="_Hlk155458206"/>
      <w:r>
        <w:rPr>
          <w:spacing w:val="6"/>
          <w:sz w:val="26"/>
          <w:szCs w:val="26"/>
        </w:rPr>
        <w:t>5</w:t>
      </w:r>
      <w:r w:rsidR="003425AD">
        <w:rPr>
          <w:spacing w:val="6"/>
          <w:sz w:val="26"/>
          <w:szCs w:val="26"/>
        </w:rPr>
        <w:t xml:space="preserve">º.- </w:t>
      </w:r>
      <w:r w:rsidR="00B2402D">
        <w:rPr>
          <w:spacing w:val="6"/>
          <w:sz w:val="26"/>
          <w:szCs w:val="26"/>
        </w:rPr>
        <w:t>T</w:t>
      </w:r>
      <w:r w:rsidR="002F10B5">
        <w:rPr>
          <w:spacing w:val="6"/>
          <w:sz w:val="26"/>
          <w:szCs w:val="26"/>
        </w:rPr>
        <w:t>ratándose de met</w:t>
      </w:r>
      <w:r w:rsidR="003D1893">
        <w:rPr>
          <w:spacing w:val="6"/>
          <w:sz w:val="26"/>
          <w:szCs w:val="26"/>
        </w:rPr>
        <w:t>álico</w:t>
      </w:r>
      <w:r w:rsidR="001B425F">
        <w:rPr>
          <w:spacing w:val="6"/>
          <w:sz w:val="26"/>
          <w:szCs w:val="26"/>
        </w:rPr>
        <w:t>:</w:t>
      </w:r>
    </w:p>
    <w:bookmarkEnd w:id="162"/>
    <w:p w14:paraId="7C203D18" w14:textId="77777777" w:rsidR="001B425F" w:rsidRPr="001B425F" w:rsidRDefault="001B425F" w:rsidP="000F0906">
      <w:pPr>
        <w:spacing w:line="280" w:lineRule="atLeast"/>
        <w:ind w:left="1872"/>
        <w:jc w:val="both"/>
        <w:rPr>
          <w:spacing w:val="6"/>
          <w:sz w:val="26"/>
          <w:szCs w:val="26"/>
        </w:rPr>
      </w:pPr>
      <w:r>
        <w:rPr>
          <w:spacing w:val="6"/>
          <w:sz w:val="26"/>
          <w:szCs w:val="26"/>
        </w:rPr>
        <w:t xml:space="preserve">- </w:t>
      </w:r>
      <w:r w:rsidRPr="001B425F">
        <w:rPr>
          <w:spacing w:val="6"/>
          <w:sz w:val="26"/>
          <w:szCs w:val="26"/>
        </w:rPr>
        <w:t>Que</w:t>
      </w:r>
      <w:r>
        <w:rPr>
          <w:spacing w:val="6"/>
          <w:sz w:val="26"/>
          <w:szCs w:val="26"/>
        </w:rPr>
        <w:t xml:space="preserve"> el donatario</w:t>
      </w:r>
      <w:r w:rsidRPr="001B425F">
        <w:rPr>
          <w:spacing w:val="6"/>
          <w:sz w:val="26"/>
          <w:szCs w:val="26"/>
        </w:rPr>
        <w:t xml:space="preserve"> tiene residencia fiscal en Asturias en los términos del </w:t>
      </w:r>
      <w:hyperlink r:id="rId246" w:anchor="a28" w:history="1">
        <w:r w:rsidRPr="001B425F">
          <w:rPr>
            <w:rStyle w:val="Hipervnculo"/>
            <w:spacing w:val="6"/>
            <w:sz w:val="26"/>
            <w:szCs w:val="26"/>
          </w:rPr>
          <w:t>artículo 28-1</w:t>
        </w:r>
      </w:hyperlink>
      <w:r w:rsidRPr="001B425F">
        <w:rPr>
          <w:spacing w:val="6"/>
          <w:sz w:val="26"/>
          <w:szCs w:val="26"/>
        </w:rPr>
        <w:t xml:space="preserve"> y </w:t>
      </w:r>
      <w:hyperlink r:id="rId247" w:anchor="a32" w:history="1">
        <w:r w:rsidRPr="001B425F">
          <w:rPr>
            <w:rStyle w:val="Hipervnculo"/>
            <w:spacing w:val="6"/>
            <w:sz w:val="26"/>
            <w:szCs w:val="26"/>
          </w:rPr>
          <w:t>artículo 32-2-c</w:t>
        </w:r>
      </w:hyperlink>
      <w:r w:rsidRPr="001B425F">
        <w:rPr>
          <w:spacing w:val="6"/>
          <w:sz w:val="26"/>
          <w:szCs w:val="26"/>
        </w:rPr>
        <w:t xml:space="preserve"> de </w:t>
      </w:r>
      <w:hyperlink r:id="rId248" w:history="1">
        <w:r w:rsidRPr="001B425F">
          <w:rPr>
            <w:rStyle w:val="Hipervnculo"/>
            <w:spacing w:val="6"/>
            <w:sz w:val="26"/>
            <w:szCs w:val="26"/>
          </w:rPr>
          <w:t>Ley 22/2009, de 18 de diciembre, reguladora del Sistema de financiación de las Comunidades Autónomas de régimen común y Ciudades con Estatuto de Autonomía</w:t>
        </w:r>
      </w:hyperlink>
      <w:r w:rsidR="006969AC">
        <w:rPr>
          <w:spacing w:val="6"/>
          <w:sz w:val="26"/>
          <w:szCs w:val="26"/>
        </w:rPr>
        <w:t>.</w:t>
      </w:r>
    </w:p>
    <w:p w14:paraId="7BD4BF12" w14:textId="77777777" w:rsidR="00BE1F47" w:rsidRDefault="001B425F" w:rsidP="000F0906">
      <w:pPr>
        <w:spacing w:line="280" w:lineRule="atLeast"/>
        <w:ind w:left="1872"/>
        <w:jc w:val="both"/>
        <w:rPr>
          <w:spacing w:val="6"/>
          <w:sz w:val="26"/>
          <w:szCs w:val="26"/>
        </w:rPr>
      </w:pPr>
      <w:r>
        <w:rPr>
          <w:spacing w:val="6"/>
          <w:sz w:val="26"/>
          <w:szCs w:val="26"/>
        </w:rPr>
        <w:t>- Que</w:t>
      </w:r>
      <w:r w:rsidR="00995B14" w:rsidRPr="00A675BD">
        <w:rPr>
          <w:spacing w:val="6"/>
          <w:sz w:val="26"/>
          <w:szCs w:val="26"/>
        </w:rPr>
        <w:t xml:space="preserve"> las cantidades donadas tienen origen en las cuentas asociadas que figuran en los correspondientes efectos de entidad crediticia (a cada importe su respectivo efecto o documento), que se incorpora</w:t>
      </w:r>
      <w:r w:rsidR="00995B14">
        <w:rPr>
          <w:spacing w:val="6"/>
          <w:sz w:val="26"/>
          <w:szCs w:val="26"/>
        </w:rPr>
        <w:t>n/incorporarán en este momento/en diligencia posterior</w:t>
      </w:r>
      <w:r w:rsidR="00995B14" w:rsidRPr="00A675BD">
        <w:rPr>
          <w:spacing w:val="6"/>
          <w:sz w:val="26"/>
          <w:szCs w:val="26"/>
        </w:rPr>
        <w:t xml:space="preserve"> por testimonio de su original, siendo su procedencia </w:t>
      </w:r>
      <w:r w:rsidR="00995B14">
        <w:rPr>
          <w:spacing w:val="6"/>
          <w:sz w:val="26"/>
          <w:szCs w:val="26"/>
        </w:rPr>
        <w:t>***</w:t>
      </w:r>
      <w:r w:rsidR="00995B14" w:rsidRPr="00A675BD">
        <w:rPr>
          <w:spacing w:val="6"/>
          <w:sz w:val="26"/>
          <w:szCs w:val="26"/>
        </w:rPr>
        <w:t>el ahorro derivado del trabajo de toda una vida</w:t>
      </w:r>
      <w:r w:rsidR="00BE1F47">
        <w:rPr>
          <w:spacing w:val="6"/>
          <w:sz w:val="26"/>
          <w:szCs w:val="26"/>
        </w:rPr>
        <w:t>.</w:t>
      </w:r>
    </w:p>
    <w:p w14:paraId="2BB31166" w14:textId="77777777" w:rsidR="00B2402D" w:rsidRDefault="00BE1F47" w:rsidP="00B009DF">
      <w:pPr>
        <w:ind w:left="1871"/>
        <w:jc w:val="both"/>
        <w:rPr>
          <w:spacing w:val="6"/>
          <w:sz w:val="26"/>
          <w:szCs w:val="26"/>
        </w:rPr>
      </w:pPr>
      <w:r w:rsidRPr="00BE1F47">
        <w:rPr>
          <w:spacing w:val="6"/>
          <w:sz w:val="26"/>
          <w:szCs w:val="26"/>
        </w:rPr>
        <w:t>- Que la donación se perfecciona por la aceptación del donatario en esta escritura y deviene irrevocable por el conocimiento por el donante en esta escritura de dicha aceptación, aunque la transferencia o ingreso de fondos hubiese podido realizarse en un momento anterior, incluso con antigüedad superior al supuesto plazo de liquidación, sin que el donatario hubiese dispuesto de los mismos; exonerando las partes al notario de toda responsabilidad, después de advertidos de la práctica administrativa</w:t>
      </w:r>
      <w:r w:rsidR="00B2402D">
        <w:rPr>
          <w:spacing w:val="6"/>
          <w:sz w:val="26"/>
          <w:szCs w:val="26"/>
        </w:rPr>
        <w:t>.</w:t>
      </w:r>
    </w:p>
    <w:p w14:paraId="0FAF3346" w14:textId="77777777" w:rsidR="00B009DF" w:rsidRDefault="0029765A" w:rsidP="0029765A">
      <w:pPr>
        <w:spacing w:after="60"/>
        <w:ind w:left="1871"/>
        <w:jc w:val="both"/>
        <w:rPr>
          <w:iCs/>
          <w:spacing w:val="6"/>
          <w:sz w:val="26"/>
          <w:szCs w:val="26"/>
        </w:rPr>
      </w:pPr>
      <w:r>
        <w:rPr>
          <w:spacing w:val="6"/>
          <w:sz w:val="26"/>
          <w:szCs w:val="26"/>
        </w:rPr>
        <w:t>6</w:t>
      </w:r>
      <w:r w:rsidR="00B2402D">
        <w:rPr>
          <w:spacing w:val="6"/>
          <w:sz w:val="26"/>
          <w:szCs w:val="26"/>
        </w:rPr>
        <w:t>º.- Que siendo el régimen económico matrimonial de los donantes el legal</w:t>
      </w:r>
      <w:r w:rsidR="006B212B">
        <w:rPr>
          <w:spacing w:val="6"/>
          <w:sz w:val="26"/>
          <w:szCs w:val="26"/>
        </w:rPr>
        <w:t xml:space="preserve"> </w:t>
      </w:r>
      <w:r w:rsidR="00B2402D">
        <w:rPr>
          <w:spacing w:val="6"/>
          <w:sz w:val="26"/>
          <w:szCs w:val="26"/>
        </w:rPr>
        <w:t xml:space="preserve">supletorio </w:t>
      </w:r>
      <w:r w:rsidR="00646FEA">
        <w:rPr>
          <w:spacing w:val="6"/>
          <w:sz w:val="26"/>
          <w:szCs w:val="26"/>
        </w:rPr>
        <w:t>español común de gananciales y teniendo los bienes donados tal condición de gananciales, estaríamos ante dos donaciones, siendo la base imponible de cada una de ellas la mitad del valor recibido por cada donatario</w:t>
      </w:r>
      <w:r w:rsidR="008158CA">
        <w:rPr>
          <w:spacing w:val="6"/>
          <w:sz w:val="26"/>
          <w:szCs w:val="26"/>
        </w:rPr>
        <w:t xml:space="preserve"> (</w:t>
      </w:r>
      <w:hyperlink r:id="rId249" w:history="1">
        <w:r w:rsidR="008158CA" w:rsidRPr="00922F1E">
          <w:rPr>
            <w:rStyle w:val="Hipervnculo"/>
            <w:iCs/>
            <w:spacing w:val="6"/>
            <w:sz w:val="26"/>
            <w:szCs w:val="26"/>
          </w:rPr>
          <w:t>Sentencia del Tribunal Supremo de 18 febrero de 2009</w:t>
        </w:r>
      </w:hyperlink>
      <w:r w:rsidR="008158CA">
        <w:rPr>
          <w:iCs/>
          <w:spacing w:val="6"/>
          <w:sz w:val="26"/>
          <w:szCs w:val="26"/>
        </w:rPr>
        <w:t xml:space="preserve"> que anuló el art. 38 del Reglamento).</w:t>
      </w:r>
    </w:p>
    <w:p w14:paraId="3073F737" w14:textId="77777777" w:rsidR="005B19C5" w:rsidRDefault="005B19C5" w:rsidP="0029765A">
      <w:pPr>
        <w:spacing w:after="60"/>
        <w:ind w:left="1871"/>
        <w:jc w:val="both"/>
        <w:rPr>
          <w:spacing w:val="6"/>
          <w:sz w:val="26"/>
          <w:szCs w:val="26"/>
        </w:rPr>
      </w:pPr>
    </w:p>
    <w:p w14:paraId="4F4EC744" w14:textId="77777777" w:rsidR="00EE1145" w:rsidRDefault="00EE1145" w:rsidP="00C854F8">
      <w:pPr>
        <w:numPr>
          <w:ilvl w:val="1"/>
          <w:numId w:val="15"/>
        </w:numPr>
        <w:tabs>
          <w:tab w:val="clear" w:pos="792"/>
          <w:tab w:val="num" w:pos="432"/>
        </w:tabs>
        <w:jc w:val="both"/>
        <w:rPr>
          <w:b/>
          <w:spacing w:val="6"/>
          <w:sz w:val="22"/>
          <w:szCs w:val="22"/>
        </w:rPr>
      </w:pPr>
      <w:bookmarkStart w:id="163" w:name="n361"/>
      <w:bookmarkStart w:id="164" w:name="Otros33"/>
      <w:bookmarkEnd w:id="163"/>
      <w:bookmarkEnd w:id="164"/>
      <w:r>
        <w:rPr>
          <w:b/>
          <w:spacing w:val="6"/>
          <w:sz w:val="26"/>
          <w:szCs w:val="26"/>
        </w:rPr>
        <w:lastRenderedPageBreak/>
        <w:t>Otros beneficios fiscales (a partir del 1 de enero de 2018)</w:t>
      </w:r>
    </w:p>
    <w:p w14:paraId="1C3F5672" w14:textId="77777777" w:rsidR="00EE1145" w:rsidRDefault="000248C3" w:rsidP="00B009DF">
      <w:pPr>
        <w:ind w:left="720"/>
        <w:jc w:val="both"/>
        <w:rPr>
          <w:b/>
          <w:spacing w:val="6"/>
          <w:sz w:val="22"/>
          <w:szCs w:val="22"/>
        </w:rPr>
      </w:pPr>
      <w:r>
        <w:rPr>
          <w:rFonts w:ascii="Times New Roman" w:hAnsi="Times New Roman"/>
          <w:sz w:val="26"/>
          <w:szCs w:val="26"/>
        </w:rPr>
        <w:t>Además del ya visto para las donaciones en favor de los Grupos I y II, l</w:t>
      </w:r>
      <w:r w:rsidR="00EE1145">
        <w:rPr>
          <w:rFonts w:ascii="Times New Roman" w:hAnsi="Times New Roman"/>
          <w:sz w:val="26"/>
          <w:szCs w:val="26"/>
        </w:rPr>
        <w:t xml:space="preserve">a </w:t>
      </w:r>
      <w:hyperlink r:id="rId250" w:history="1">
        <w:r w:rsidR="00EE1145">
          <w:rPr>
            <w:rStyle w:val="Hipervnculo"/>
            <w:rFonts w:ascii="Times New Roman" w:hAnsi="Times New Roman"/>
            <w:sz w:val="26"/>
            <w:szCs w:val="26"/>
          </w:rPr>
          <w:t>Ley 7/2017</w:t>
        </w:r>
      </w:hyperlink>
      <w:r w:rsidR="00EE1145">
        <w:rPr>
          <w:rFonts w:ascii="Times New Roman" w:hAnsi="Times New Roman"/>
          <w:sz w:val="26"/>
          <w:szCs w:val="26"/>
        </w:rPr>
        <w:t xml:space="preserve"> modifica o introduce los siguientes beneficios fiscales en el Impue</w:t>
      </w:r>
      <w:r w:rsidR="00AD6DE2">
        <w:rPr>
          <w:rFonts w:ascii="Times New Roman" w:hAnsi="Times New Roman"/>
          <w:sz w:val="26"/>
          <w:szCs w:val="26"/>
        </w:rPr>
        <w:t>sto sobre Donaciones. S</w:t>
      </w:r>
      <w:r w:rsidR="00EE1145">
        <w:rPr>
          <w:rFonts w:ascii="Times New Roman" w:hAnsi="Times New Roman"/>
          <w:sz w:val="26"/>
          <w:szCs w:val="26"/>
        </w:rPr>
        <w:t>u entrada en vigor se aplaza al 1 de enero de 2018 (frente a la gen</w:t>
      </w:r>
      <w:r w:rsidR="00AD6DE2">
        <w:rPr>
          <w:rFonts w:ascii="Times New Roman" w:hAnsi="Times New Roman"/>
          <w:sz w:val="26"/>
          <w:szCs w:val="26"/>
        </w:rPr>
        <w:t>eral del 1 de junio de 2017)</w:t>
      </w:r>
      <w:r w:rsidR="00EE1145">
        <w:rPr>
          <w:rFonts w:ascii="Times New Roman" w:hAnsi="Times New Roman"/>
          <w:sz w:val="26"/>
          <w:szCs w:val="26"/>
        </w:rPr>
        <w:t>:</w:t>
      </w:r>
    </w:p>
    <w:p w14:paraId="44E4059E" w14:textId="77777777" w:rsidR="00EE1145" w:rsidRPr="000248C3" w:rsidRDefault="00EE1145" w:rsidP="00AE500A">
      <w:pPr>
        <w:ind w:left="792"/>
        <w:jc w:val="both"/>
        <w:rPr>
          <w:rFonts w:ascii="CG Times" w:hAnsi="CG Times"/>
          <w:sz w:val="26"/>
          <w:szCs w:val="26"/>
        </w:rPr>
      </w:pPr>
      <w:r>
        <w:rPr>
          <w:rFonts w:ascii="CG Times" w:hAnsi="CG Times"/>
          <w:sz w:val="26"/>
          <w:szCs w:val="26"/>
        </w:rPr>
        <w:t>- Reducción para parientes por donación del patrimonio empresarial, profesional o agrario.</w:t>
      </w:r>
    </w:p>
    <w:p w14:paraId="7AB84CB2" w14:textId="77777777" w:rsidR="00EE1145" w:rsidRDefault="00EE1145" w:rsidP="00C325F1">
      <w:pPr>
        <w:jc w:val="both"/>
        <w:rPr>
          <w:rFonts w:ascii="CG Times" w:hAnsi="CG Times"/>
          <w:sz w:val="26"/>
          <w:szCs w:val="26"/>
        </w:rPr>
      </w:pPr>
      <w:r>
        <w:rPr>
          <w:rFonts w:ascii="CG Times" w:hAnsi="CG Times"/>
          <w:sz w:val="26"/>
          <w:szCs w:val="26"/>
        </w:rPr>
        <w:br w:type="page"/>
      </w:r>
    </w:p>
    <w:p w14:paraId="0B6341C0" w14:textId="77777777" w:rsidR="00EE1145" w:rsidRDefault="00EE1145" w:rsidP="00C854F8">
      <w:pPr>
        <w:numPr>
          <w:ilvl w:val="0"/>
          <w:numId w:val="15"/>
        </w:numPr>
        <w:tabs>
          <w:tab w:val="clear" w:pos="360"/>
          <w:tab w:val="num" w:pos="0"/>
        </w:tabs>
        <w:spacing w:line="280" w:lineRule="atLeast"/>
        <w:ind w:left="0"/>
        <w:jc w:val="both"/>
        <w:rPr>
          <w:b/>
          <w:color w:val="000000"/>
          <w:spacing w:val="6"/>
          <w:sz w:val="22"/>
          <w:szCs w:val="22"/>
        </w:rPr>
      </w:pPr>
      <w:bookmarkStart w:id="165" w:name="D"/>
      <w:bookmarkEnd w:id="165"/>
      <w:r>
        <w:rPr>
          <w:b/>
          <w:color w:val="000000"/>
          <w:spacing w:val="6"/>
          <w:sz w:val="26"/>
          <w:szCs w:val="26"/>
        </w:rPr>
        <w:lastRenderedPageBreak/>
        <w:t>IMPUESTO SOBRE SUCESIONES</w:t>
      </w:r>
    </w:p>
    <w:p w14:paraId="79DE2A9A" w14:textId="77777777" w:rsidR="00EE1145" w:rsidRDefault="00EE1145" w:rsidP="00C854F8">
      <w:pPr>
        <w:numPr>
          <w:ilvl w:val="1"/>
          <w:numId w:val="15"/>
        </w:numPr>
        <w:tabs>
          <w:tab w:val="clear" w:pos="792"/>
          <w:tab w:val="num" w:pos="432"/>
        </w:tabs>
        <w:spacing w:line="280" w:lineRule="atLeast"/>
        <w:ind w:left="432"/>
        <w:jc w:val="both"/>
        <w:rPr>
          <w:b/>
          <w:spacing w:val="6"/>
          <w:sz w:val="22"/>
          <w:szCs w:val="22"/>
        </w:rPr>
      </w:pPr>
      <w:bookmarkStart w:id="166" w:name="resumen"/>
      <w:bookmarkEnd w:id="166"/>
      <w:r>
        <w:rPr>
          <w:b/>
          <w:spacing w:val="6"/>
          <w:sz w:val="26"/>
          <w:szCs w:val="26"/>
        </w:rPr>
        <w:t>Resumen para parientes próximos</w:t>
      </w:r>
    </w:p>
    <w:p w14:paraId="5B155D90" w14:textId="77777777" w:rsidR="00EE1145" w:rsidRDefault="00EE1145">
      <w:pPr>
        <w:spacing w:line="280" w:lineRule="atLeast"/>
        <w:ind w:left="432"/>
        <w:jc w:val="both"/>
        <w:rPr>
          <w:spacing w:val="6"/>
          <w:sz w:val="26"/>
          <w:szCs w:val="26"/>
        </w:rPr>
      </w:pPr>
      <w:r>
        <w:rPr>
          <w:spacing w:val="6"/>
          <w:sz w:val="26"/>
          <w:szCs w:val="26"/>
        </w:rPr>
        <w:t>Dadas las recientes reformas interesa dar un vistazo rápido a la habitual sucesión por parientes próximos desde el 1 de junio de 2017, con reseña de la situación anterior:</w:t>
      </w:r>
    </w:p>
    <w:p w14:paraId="5DB354D2" w14:textId="77777777" w:rsidR="00EE1145" w:rsidRDefault="00EE1145">
      <w:pPr>
        <w:spacing w:line="280" w:lineRule="atLeast"/>
        <w:ind w:left="432"/>
        <w:jc w:val="both"/>
        <w:rPr>
          <w:rFonts w:ascii="Times New Roman" w:hAnsi="Times New Roman"/>
          <w:sz w:val="26"/>
          <w:szCs w:val="26"/>
          <w:lang w:val="es-ES"/>
        </w:rPr>
      </w:pPr>
      <w:r>
        <w:rPr>
          <w:spacing w:val="6"/>
          <w:sz w:val="26"/>
          <w:szCs w:val="26"/>
        </w:rPr>
        <w:t xml:space="preserve">- Reducción en la base imponible de 300.000 € para </w:t>
      </w:r>
      <w:hyperlink r:id="rId251" w:anchor="a20" w:history="1">
        <w:r>
          <w:rPr>
            <w:rStyle w:val="Hipervnculo"/>
            <w:rFonts w:ascii="Times New Roman" w:hAnsi="Times New Roman"/>
            <w:sz w:val="26"/>
            <w:szCs w:val="26"/>
            <w:lang w:val="es-ES"/>
          </w:rPr>
          <w:t>Grupos I y II</w:t>
        </w:r>
      </w:hyperlink>
      <w:r>
        <w:rPr>
          <w:rFonts w:ascii="Times New Roman" w:hAnsi="Times New Roman"/>
          <w:sz w:val="26"/>
          <w:szCs w:val="26"/>
          <w:lang w:val="es-ES"/>
        </w:rPr>
        <w:t xml:space="preserve"> (200.000 € entre el 1 de enero de 2017 y el 31 de mayo de 2017).</w:t>
      </w:r>
    </w:p>
    <w:p w14:paraId="43C9F1A0" w14:textId="77777777" w:rsidR="00EE1145" w:rsidRDefault="00EE1145">
      <w:pPr>
        <w:spacing w:line="280" w:lineRule="atLeast"/>
        <w:ind w:left="432"/>
        <w:jc w:val="both"/>
        <w:rPr>
          <w:rFonts w:ascii="Times New Roman" w:hAnsi="Times New Roman"/>
          <w:sz w:val="26"/>
          <w:szCs w:val="26"/>
          <w:lang w:val="es-ES"/>
        </w:rPr>
      </w:pPr>
      <w:r>
        <w:rPr>
          <w:rFonts w:ascii="Times New Roman" w:hAnsi="Times New Roman"/>
          <w:sz w:val="26"/>
          <w:szCs w:val="26"/>
          <w:lang w:val="es-ES"/>
        </w:rPr>
        <w:t>- Reducción por la vivienda habitual del causante con obligación de mantenimiento durante 3 años (10 años antes del 31 de mayo de 2017).</w:t>
      </w:r>
    </w:p>
    <w:p w14:paraId="35477233" w14:textId="77777777" w:rsidR="00EE1145" w:rsidRDefault="00EE1145">
      <w:pPr>
        <w:spacing w:line="280" w:lineRule="atLeast"/>
        <w:ind w:left="432"/>
        <w:jc w:val="both"/>
        <w:rPr>
          <w:rFonts w:ascii="Times New Roman" w:hAnsi="Times New Roman"/>
          <w:sz w:val="26"/>
          <w:szCs w:val="26"/>
        </w:rPr>
      </w:pPr>
      <w:r>
        <w:rPr>
          <w:rFonts w:ascii="Times New Roman" w:hAnsi="Times New Roman"/>
          <w:sz w:val="26"/>
          <w:szCs w:val="26"/>
          <w:lang w:val="es-ES"/>
        </w:rPr>
        <w:t xml:space="preserve">- Desde el 1 de enero de 2017, en la determinación de la cuota íntegra se aplica una tarifa específica a </w:t>
      </w:r>
      <w:hyperlink r:id="rId252" w:anchor="a20" w:history="1">
        <w:r>
          <w:rPr>
            <w:rStyle w:val="Hipervnculo"/>
            <w:rFonts w:ascii="Times New Roman" w:hAnsi="Times New Roman"/>
            <w:sz w:val="26"/>
            <w:szCs w:val="26"/>
            <w:lang w:val="es-ES"/>
          </w:rPr>
          <w:t>Grupos I y II</w:t>
        </w:r>
      </w:hyperlink>
      <w:r>
        <w:rPr>
          <w:rFonts w:ascii="Times New Roman" w:hAnsi="Times New Roman"/>
          <w:sz w:val="26"/>
          <w:szCs w:val="26"/>
          <w:lang w:val="es-ES"/>
        </w:rPr>
        <w:t xml:space="preserve">, </w:t>
      </w:r>
      <w:r>
        <w:rPr>
          <w:rFonts w:ascii="Times New Roman" w:hAnsi="Times New Roman"/>
          <w:sz w:val="26"/>
          <w:szCs w:val="26"/>
        </w:rPr>
        <w:t xml:space="preserve">con tipos que van desde el 21,25 al 36,50% (entre el 15 de julio de 2010 y el </w:t>
      </w:r>
      <w:r w:rsidR="00AF1B76">
        <w:rPr>
          <w:rFonts w:ascii="Times New Roman" w:hAnsi="Times New Roman"/>
          <w:sz w:val="26"/>
          <w:szCs w:val="26"/>
        </w:rPr>
        <w:t xml:space="preserve">31 de diciembre de 2016 </w:t>
      </w:r>
      <w:r>
        <w:rPr>
          <w:rFonts w:ascii="Times New Roman" w:hAnsi="Times New Roman"/>
          <w:sz w:val="26"/>
          <w:szCs w:val="26"/>
        </w:rPr>
        <w:t>se aplica la tarifa general asturiana).</w:t>
      </w:r>
    </w:p>
    <w:p w14:paraId="10F4D7A9" w14:textId="77777777" w:rsidR="00EE1145" w:rsidRDefault="00EE1145">
      <w:pPr>
        <w:spacing w:line="280" w:lineRule="atLeast"/>
        <w:ind w:left="432"/>
        <w:jc w:val="both"/>
        <w:rPr>
          <w:rFonts w:ascii="Times New Roman" w:hAnsi="Times New Roman"/>
          <w:sz w:val="26"/>
          <w:szCs w:val="26"/>
          <w:lang w:val="es-ES"/>
        </w:rPr>
      </w:pPr>
      <w:r>
        <w:rPr>
          <w:rFonts w:ascii="Times New Roman" w:hAnsi="Times New Roman"/>
          <w:sz w:val="26"/>
          <w:szCs w:val="26"/>
        </w:rPr>
        <w:t xml:space="preserve">- En la determinación de la cuota tributaria se aplican coeficientes entre 0,00 y 0,04 al </w:t>
      </w:r>
      <w:hyperlink r:id="rId253" w:anchor="a20" w:history="1">
        <w:r>
          <w:rPr>
            <w:rStyle w:val="Hipervnculo"/>
            <w:rFonts w:ascii="Times New Roman" w:hAnsi="Times New Roman"/>
            <w:sz w:val="26"/>
            <w:szCs w:val="26"/>
            <w:lang w:val="es-ES"/>
          </w:rPr>
          <w:t>Grupo I</w:t>
        </w:r>
      </w:hyperlink>
      <w:r>
        <w:rPr>
          <w:rFonts w:ascii="Times New Roman" w:hAnsi="Times New Roman"/>
          <w:sz w:val="26"/>
          <w:szCs w:val="26"/>
          <w:lang w:val="es-ES"/>
        </w:rPr>
        <w:t>.</w:t>
      </w:r>
    </w:p>
    <w:p w14:paraId="1C022CAA" w14:textId="77777777" w:rsidR="00EE1145" w:rsidRDefault="00EE1145" w:rsidP="009657C4">
      <w:pPr>
        <w:spacing w:after="60" w:line="280" w:lineRule="atLeast"/>
        <w:ind w:left="431"/>
        <w:jc w:val="both"/>
        <w:rPr>
          <w:rFonts w:ascii="Times New Roman" w:hAnsi="Times New Roman"/>
          <w:sz w:val="26"/>
          <w:szCs w:val="26"/>
          <w:lang w:val="es-ES"/>
        </w:rPr>
      </w:pPr>
      <w:r>
        <w:rPr>
          <w:rFonts w:ascii="Times New Roman" w:hAnsi="Times New Roman"/>
          <w:sz w:val="26"/>
          <w:szCs w:val="26"/>
          <w:lang w:val="es-ES"/>
        </w:rPr>
        <w:t xml:space="preserve">- Entre el 1 de enero de 2009 y el 31 de diciembre de 2016, en la determinación de la deuda tributaria se aplica al </w:t>
      </w:r>
      <w:hyperlink r:id="rId254" w:anchor="a20" w:history="1">
        <w:r>
          <w:rPr>
            <w:rStyle w:val="Hipervnculo"/>
            <w:rFonts w:ascii="Times New Roman" w:hAnsi="Times New Roman"/>
            <w:sz w:val="26"/>
            <w:szCs w:val="26"/>
            <w:lang w:val="es-ES"/>
          </w:rPr>
          <w:t>Grupo II</w:t>
        </w:r>
      </w:hyperlink>
      <w:r>
        <w:rPr>
          <w:rFonts w:ascii="Times New Roman" w:hAnsi="Times New Roman"/>
          <w:sz w:val="26"/>
          <w:szCs w:val="26"/>
          <w:lang w:val="es-ES"/>
        </w:rPr>
        <w:t xml:space="preserve"> con patrimonio no superior a 402.678,11 € una bonificación del 100% en la cuota si la base imponible no es superior a 150.000 €. </w:t>
      </w:r>
    </w:p>
    <w:p w14:paraId="1A782710" w14:textId="77777777" w:rsidR="00EE1145" w:rsidRDefault="00EE1145" w:rsidP="00C854F8">
      <w:pPr>
        <w:numPr>
          <w:ilvl w:val="1"/>
          <w:numId w:val="15"/>
        </w:numPr>
        <w:tabs>
          <w:tab w:val="clear" w:pos="792"/>
          <w:tab w:val="num" w:pos="432"/>
        </w:tabs>
        <w:spacing w:line="280" w:lineRule="atLeast"/>
        <w:ind w:left="432"/>
        <w:jc w:val="both"/>
        <w:rPr>
          <w:b/>
          <w:color w:val="000000"/>
          <w:spacing w:val="6"/>
          <w:sz w:val="22"/>
          <w:szCs w:val="22"/>
        </w:rPr>
      </w:pPr>
      <w:bookmarkStart w:id="167" w:name="cla"/>
      <w:bookmarkEnd w:id="167"/>
      <w:r>
        <w:rPr>
          <w:b/>
          <w:color w:val="000000"/>
          <w:spacing w:val="6"/>
          <w:sz w:val="26"/>
          <w:szCs w:val="26"/>
        </w:rPr>
        <w:t>Cláusula general</w:t>
      </w:r>
    </w:p>
    <w:p w14:paraId="0E7F5839" w14:textId="77777777" w:rsidR="00EE1145" w:rsidRDefault="00EE1145">
      <w:pPr>
        <w:ind w:left="432"/>
        <w:jc w:val="both"/>
        <w:rPr>
          <w:rFonts w:ascii="CG Times" w:hAnsi="CG Times"/>
          <w:sz w:val="26"/>
          <w:szCs w:val="26"/>
        </w:rPr>
      </w:pPr>
      <w:bookmarkStart w:id="168" w:name="D1"/>
      <w:bookmarkEnd w:id="168"/>
      <w:r>
        <w:rPr>
          <w:rFonts w:ascii="CG Times" w:hAnsi="CG Times"/>
          <w:sz w:val="26"/>
          <w:szCs w:val="26"/>
        </w:rPr>
        <w:t xml:space="preserve">Incluir la siguiente cláusula en la Exposición, </w:t>
      </w:r>
      <w:r>
        <w:rPr>
          <w:rFonts w:ascii="CG Times" w:hAnsi="CG Times"/>
          <w:sz w:val="26"/>
          <w:szCs w:val="26"/>
          <w:lang w:val="es-ES"/>
        </w:rPr>
        <w:t>que implica ya una opción informada de los intervinientes por alguno de los posibles regímenes aplicables, así como una simplificación que habrá de ponderarse en cada caso</w:t>
      </w:r>
      <w:r>
        <w:rPr>
          <w:rFonts w:ascii="CG Times" w:hAnsi="CG Times"/>
          <w:sz w:val="26"/>
          <w:szCs w:val="26"/>
        </w:rPr>
        <w:t xml:space="preserve">: </w:t>
      </w:r>
    </w:p>
    <w:p w14:paraId="46683A27" w14:textId="77777777" w:rsidR="00EE1145" w:rsidRDefault="00EE1145">
      <w:pPr>
        <w:spacing w:line="280" w:lineRule="atLeast"/>
        <w:ind w:left="432"/>
        <w:jc w:val="both"/>
        <w:rPr>
          <w:rFonts w:ascii="CG Times" w:hAnsi="CG Times"/>
          <w:sz w:val="26"/>
          <w:szCs w:val="26"/>
          <w:lang w:val="es-ES"/>
        </w:rPr>
      </w:pPr>
      <w:bookmarkStart w:id="169" w:name="F1"/>
      <w:bookmarkStart w:id="170" w:name="D1nuevo"/>
      <w:bookmarkEnd w:id="169"/>
      <w:bookmarkEnd w:id="170"/>
      <w:r>
        <w:rPr>
          <w:rFonts w:ascii="CG Times" w:hAnsi="CG Times"/>
          <w:sz w:val="26"/>
          <w:szCs w:val="26"/>
          <w:lang w:val="es-ES"/>
        </w:rPr>
        <w:t>"</w:t>
      </w:r>
      <w:r>
        <w:rPr>
          <w:rFonts w:ascii="CG Times" w:hAnsi="CG Times"/>
          <w:b/>
          <w:sz w:val="26"/>
          <w:szCs w:val="26"/>
          <w:lang w:val="es-ES"/>
        </w:rPr>
        <w:t>Declaraciones fiscales.-</w:t>
      </w:r>
      <w:r>
        <w:rPr>
          <w:rFonts w:ascii="CG Times" w:hAnsi="CG Times"/>
          <w:sz w:val="26"/>
          <w:szCs w:val="26"/>
          <w:lang w:val="es-ES"/>
        </w:rPr>
        <w:t xml:space="preserve"> Manifiestan los sujetos pasivos o sus representantes:</w:t>
      </w:r>
    </w:p>
    <w:p w14:paraId="278BD3E5" w14:textId="77777777" w:rsidR="00EE1145" w:rsidRDefault="00EE1145">
      <w:pPr>
        <w:spacing w:line="280" w:lineRule="atLeast"/>
        <w:ind w:left="432"/>
        <w:jc w:val="both"/>
        <w:rPr>
          <w:rFonts w:ascii="CG Times" w:hAnsi="CG Times"/>
          <w:sz w:val="26"/>
          <w:szCs w:val="26"/>
          <w:lang w:val="es-ES"/>
        </w:rPr>
      </w:pPr>
      <w:r>
        <w:rPr>
          <w:rFonts w:ascii="CG Times" w:hAnsi="CG Times"/>
          <w:sz w:val="26"/>
          <w:szCs w:val="26"/>
          <w:lang w:val="es-ES"/>
        </w:rPr>
        <w:t>1º.- Que designan como domicilio para la práctica de las notificaciones fiscales que procedan el de ***</w:t>
      </w:r>
      <w:smartTag w:uri="urn:schemas-microsoft-com:office:smarttags" w:element="PersonName">
        <w:smartTagPr>
          <w:attr w:name="ProductID" w:val="la Comparecencia"/>
        </w:smartTagPr>
        <w:r>
          <w:rPr>
            <w:rFonts w:ascii="CG Times" w:hAnsi="CG Times"/>
            <w:sz w:val="26"/>
            <w:szCs w:val="26"/>
            <w:lang w:val="es-ES"/>
          </w:rPr>
          <w:t>la Comparecencia</w:t>
        </w:r>
      </w:smartTag>
      <w:r>
        <w:rPr>
          <w:rFonts w:ascii="CG Times" w:hAnsi="CG Times"/>
          <w:sz w:val="26"/>
          <w:szCs w:val="26"/>
          <w:lang w:val="es-ES"/>
        </w:rPr>
        <w:t xml:space="preserve">/Intervención; </w:t>
      </w:r>
      <w:r>
        <w:rPr>
          <w:rFonts w:ascii="CG Times" w:hAnsi="CG Times"/>
          <w:i/>
          <w:color w:val="FF0000"/>
          <w:sz w:val="26"/>
          <w:szCs w:val="26"/>
          <w:lang w:val="es-ES"/>
        </w:rPr>
        <w:t>para sujetos pasivos no residentes en España</w:t>
      </w:r>
      <w:r>
        <w:rPr>
          <w:rFonts w:ascii="CG Times" w:hAnsi="CG Times"/>
          <w:sz w:val="26"/>
          <w:szCs w:val="26"/>
          <w:lang w:val="es-ES"/>
        </w:rPr>
        <w:t xml:space="preserve"> como representante ante </w:t>
      </w:r>
      <w:smartTag w:uri="urn:schemas-microsoft-com:office:smarttags" w:element="PersonName">
        <w:smartTagPr>
          <w:attr w:name="ProductID" w:val="la Administraci￳n"/>
        </w:smartTagPr>
        <w:r>
          <w:rPr>
            <w:rFonts w:ascii="CG Times" w:hAnsi="CG Times"/>
            <w:sz w:val="26"/>
            <w:szCs w:val="26"/>
            <w:lang w:val="es-ES"/>
          </w:rPr>
          <w:t>la Administración</w:t>
        </w:r>
      </w:smartTag>
      <w:r>
        <w:rPr>
          <w:rFonts w:ascii="CG Times" w:hAnsi="CG Times"/>
          <w:sz w:val="26"/>
          <w:szCs w:val="26"/>
          <w:lang w:val="es-ES"/>
        </w:rPr>
        <w:t xml:space="preserve"> tributaria en relación con sus obligaciones por el Impuesto sobre Sucesiones, sin que por ello asuma responsabilidad solidaria o subsidiaria (</w:t>
      </w:r>
      <w:hyperlink r:id="rId255" w:history="1">
        <w:r>
          <w:rPr>
            <w:rStyle w:val="Hipervnculo"/>
            <w:rFonts w:ascii="CG Times" w:hAnsi="CG Times"/>
            <w:sz w:val="26"/>
            <w:szCs w:val="26"/>
            <w:lang w:val="es-ES"/>
          </w:rPr>
          <w:t>Resolución DGT de 6 de febrero de 2013</w:t>
        </w:r>
      </w:hyperlink>
      <w:r>
        <w:rPr>
          <w:rFonts w:ascii="CG Times" w:hAnsi="CG Times"/>
          <w:sz w:val="26"/>
          <w:szCs w:val="26"/>
          <w:lang w:val="es-ES"/>
        </w:rPr>
        <w:t xml:space="preserve">) a ***; </w:t>
      </w:r>
      <w:r>
        <w:rPr>
          <w:rFonts w:ascii="CG Times" w:hAnsi="CG Times"/>
          <w:i/>
          <w:sz w:val="26"/>
          <w:szCs w:val="26"/>
          <w:lang w:val="es-ES"/>
        </w:rPr>
        <w:t xml:space="preserve">en su defecto </w:t>
      </w:r>
      <w:r>
        <w:rPr>
          <w:rFonts w:ascii="CG Times" w:hAnsi="CG Times"/>
          <w:sz w:val="26"/>
          <w:szCs w:val="26"/>
          <w:lang w:val="es-ES"/>
        </w:rPr>
        <w:t>advirtiendo a los sujetos pasivos no residentes que la no designación de representante en España constituye infracción tributaria.</w:t>
      </w:r>
    </w:p>
    <w:p w14:paraId="3A4CB6FB"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 xml:space="preserve">Residentes asturianos (hasta 2009) </w:t>
      </w:r>
      <w:r>
        <w:rPr>
          <w:rFonts w:ascii="CG Times" w:hAnsi="CG Times"/>
          <w:sz w:val="26"/>
          <w:szCs w:val="26"/>
          <w:lang w:val="es-ES"/>
        </w:rPr>
        <w:t xml:space="preserve">2º.- Que </w:t>
      </w:r>
      <w:smartTag w:uri="urn:schemas-microsoft-com:office:smarttags" w:element="PersonName">
        <w:smartTagPr>
          <w:attr w:name="ProductID" w:val="la Hacienda"/>
        </w:smartTagPr>
        <w:r>
          <w:rPr>
            <w:rFonts w:ascii="CG Times" w:hAnsi="CG Times"/>
            <w:sz w:val="26"/>
            <w:szCs w:val="26"/>
            <w:lang w:val="es-ES"/>
          </w:rPr>
          <w:t>la Hacienda</w:t>
        </w:r>
      </w:smartTag>
      <w:r>
        <w:rPr>
          <w:rFonts w:ascii="CG Times" w:hAnsi="CG Times"/>
          <w:sz w:val="26"/>
          <w:szCs w:val="26"/>
          <w:lang w:val="es-ES"/>
        </w:rPr>
        <w:t xml:space="preserve"> competente es la asturiana correspondiente a la permanencia mayoritaria del causante durante el año anterior a su fallecimiento; y la normativa aplicable la asturiana correspondiente a la residencia habitual del causante durante los cinco años anteriores a su fallecimiento y a la residencia española de los causahabientes.</w:t>
      </w:r>
    </w:p>
    <w:p w14:paraId="2C149D44"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Residentes asturianos (desde 2010)</w:t>
      </w:r>
      <w:r>
        <w:rPr>
          <w:rFonts w:ascii="CG Times" w:hAnsi="CG Times"/>
          <w:i/>
          <w:sz w:val="26"/>
          <w:szCs w:val="26"/>
          <w:lang w:val="es-ES"/>
        </w:rPr>
        <w:t xml:space="preserve"> </w:t>
      </w:r>
      <w:r>
        <w:rPr>
          <w:rFonts w:ascii="CG Times" w:hAnsi="CG Times"/>
          <w:sz w:val="26"/>
          <w:szCs w:val="26"/>
          <w:lang w:val="es-ES"/>
        </w:rPr>
        <w:t xml:space="preserve">2º.- Que </w:t>
      </w:r>
      <w:smartTag w:uri="urn:schemas-microsoft-com:office:smarttags" w:element="PersonName">
        <w:smartTagPr>
          <w:attr w:name="ProductID" w:val="la Hacienda"/>
        </w:smartTagPr>
        <w:r>
          <w:rPr>
            <w:rFonts w:ascii="CG Times" w:hAnsi="CG Times"/>
            <w:sz w:val="26"/>
            <w:szCs w:val="26"/>
            <w:lang w:val="es-ES"/>
          </w:rPr>
          <w:t>la Hacienda</w:t>
        </w:r>
      </w:smartTag>
      <w:r>
        <w:rPr>
          <w:rFonts w:ascii="CG Times" w:hAnsi="CG Times"/>
          <w:sz w:val="26"/>
          <w:szCs w:val="26"/>
          <w:lang w:val="es-ES"/>
        </w:rPr>
        <w:t xml:space="preserve"> competente y la normativa aplicable es la asturiana correspondiente a la residencia fiscal española del causante, con mayoría de días durante los cinco años anteriores a su fallecimiento en Asturias; y a la residencia fiscal española de los causahabientes.</w:t>
      </w:r>
    </w:p>
    <w:p w14:paraId="2DE20AA1"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Residentes españoles (hasta 2009)</w:t>
      </w:r>
      <w:r>
        <w:rPr>
          <w:rFonts w:ascii="CG Times" w:hAnsi="CG Times"/>
          <w:sz w:val="26"/>
          <w:szCs w:val="26"/>
          <w:lang w:val="es-ES"/>
        </w:rPr>
        <w:t xml:space="preserve"> 2º.- Que </w:t>
      </w:r>
      <w:smartTag w:uri="urn:schemas-microsoft-com:office:smarttags" w:element="PersonName">
        <w:smartTagPr>
          <w:attr w:name="ProductID" w:val="la Hacienda"/>
        </w:smartTagPr>
        <w:r>
          <w:rPr>
            <w:rFonts w:ascii="CG Times" w:hAnsi="CG Times"/>
            <w:sz w:val="26"/>
            <w:szCs w:val="26"/>
            <w:lang w:val="es-ES"/>
          </w:rPr>
          <w:t>la Hacienda</w:t>
        </w:r>
      </w:smartTag>
      <w:r>
        <w:rPr>
          <w:rFonts w:ascii="CG Times" w:hAnsi="CG Times"/>
          <w:sz w:val="26"/>
          <w:szCs w:val="26"/>
          <w:lang w:val="es-ES"/>
        </w:rPr>
        <w:t xml:space="preserve"> competente es la *** correspondiente a la permanencia mayoritaria del causante durante el año </w:t>
      </w:r>
      <w:r>
        <w:rPr>
          <w:rFonts w:ascii="CG Times" w:hAnsi="CG Times"/>
          <w:sz w:val="26"/>
          <w:szCs w:val="26"/>
          <w:lang w:val="es-ES"/>
        </w:rPr>
        <w:lastRenderedPageBreak/>
        <w:t xml:space="preserve">anterior a su fallecimiento; y la normativa aplicable la *** correspondiente a la residencia habitual del causante durante los cinco años anteriores a su fallecimiento *** </w:t>
      </w:r>
      <w:r>
        <w:rPr>
          <w:rFonts w:ascii="CG Times" w:hAnsi="CG Times"/>
          <w:i/>
          <w:sz w:val="26"/>
          <w:szCs w:val="26"/>
          <w:lang w:val="es-ES"/>
        </w:rPr>
        <w:t xml:space="preserve">salvo vascos y navarros (en el caso de causantes valencianos y causahabientes no, la </w:t>
      </w:r>
      <w:hyperlink r:id="rId256" w:history="1">
        <w:r>
          <w:rPr>
            <w:rStyle w:val="Hipervnculo"/>
            <w:rFonts w:ascii="CG Times" w:hAnsi="CG Times"/>
            <w:i/>
            <w:sz w:val="26"/>
            <w:szCs w:val="26"/>
            <w:lang w:val="es-ES"/>
          </w:rPr>
          <w:t>STC de 18 de marzo de 2015</w:t>
        </w:r>
      </w:hyperlink>
      <w:r>
        <w:rPr>
          <w:rFonts w:ascii="CG Times" w:hAnsi="CG Times"/>
          <w:i/>
          <w:sz w:val="26"/>
          <w:szCs w:val="26"/>
          <w:lang w:val="es-ES"/>
        </w:rPr>
        <w:t xml:space="preserve"> ha declarado inconstitucional la norma autonómica discriminatoria)</w:t>
      </w:r>
      <w:r>
        <w:rPr>
          <w:rFonts w:ascii="CG Times" w:hAnsi="CG Times"/>
          <w:sz w:val="26"/>
          <w:szCs w:val="26"/>
          <w:lang w:val="es-ES"/>
        </w:rPr>
        <w:t xml:space="preserve">  y a la residencia española de los causahabientes.</w:t>
      </w:r>
    </w:p>
    <w:p w14:paraId="53BE7C8F"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Residentes españoles (desde 2010)</w:t>
      </w:r>
      <w:r>
        <w:rPr>
          <w:rFonts w:ascii="CG Times" w:hAnsi="CG Times"/>
          <w:i/>
          <w:sz w:val="26"/>
          <w:szCs w:val="26"/>
          <w:lang w:val="es-ES"/>
        </w:rPr>
        <w:t xml:space="preserve"> </w:t>
      </w:r>
      <w:r>
        <w:rPr>
          <w:rFonts w:ascii="CG Times" w:hAnsi="CG Times"/>
          <w:sz w:val="26"/>
          <w:szCs w:val="26"/>
          <w:lang w:val="es-ES"/>
        </w:rPr>
        <w:t xml:space="preserve"> 2º.- Que </w:t>
      </w:r>
      <w:smartTag w:uri="urn:schemas-microsoft-com:office:smarttags" w:element="PersonName">
        <w:smartTagPr>
          <w:attr w:name="ProductID" w:val="la Hacienda"/>
        </w:smartTagPr>
        <w:r>
          <w:rPr>
            <w:rFonts w:ascii="CG Times" w:hAnsi="CG Times"/>
            <w:sz w:val="26"/>
            <w:szCs w:val="26"/>
            <w:lang w:val="es-ES"/>
          </w:rPr>
          <w:t>la Hacienda</w:t>
        </w:r>
      </w:smartTag>
      <w:r>
        <w:rPr>
          <w:rFonts w:ascii="CG Times" w:hAnsi="CG Times"/>
          <w:sz w:val="26"/>
          <w:szCs w:val="26"/>
          <w:lang w:val="es-ES"/>
        </w:rPr>
        <w:t xml:space="preserve"> competente y la normativa aplicable es la *** correspondiente a la residencia fiscal española del causante, con mayoría de días durante los cinco años anteriores a su fallecimiento en *** </w:t>
      </w:r>
      <w:r>
        <w:rPr>
          <w:rFonts w:ascii="CG Times" w:hAnsi="CG Times"/>
          <w:i/>
          <w:sz w:val="26"/>
          <w:szCs w:val="26"/>
          <w:lang w:val="es-ES"/>
        </w:rPr>
        <w:t xml:space="preserve">salvo vascos y navarros (en el caso de causantes valencianos y causahabientes no, la </w:t>
      </w:r>
      <w:hyperlink r:id="rId257" w:history="1">
        <w:r>
          <w:rPr>
            <w:rStyle w:val="Hipervnculo"/>
            <w:rFonts w:ascii="CG Times" w:hAnsi="CG Times"/>
            <w:i/>
            <w:sz w:val="26"/>
            <w:szCs w:val="26"/>
            <w:lang w:val="es-ES"/>
          </w:rPr>
          <w:t>STC de 18 de marzo de 2015</w:t>
        </w:r>
      </w:hyperlink>
      <w:r>
        <w:rPr>
          <w:rFonts w:ascii="CG Times" w:hAnsi="CG Times"/>
          <w:i/>
          <w:sz w:val="26"/>
          <w:szCs w:val="26"/>
          <w:lang w:val="es-ES"/>
        </w:rPr>
        <w:t xml:space="preserve"> ha declarado inconstitucional la norma autonómica discriminatoria)</w:t>
      </w:r>
      <w:r>
        <w:rPr>
          <w:rFonts w:ascii="CG Times" w:hAnsi="CG Times"/>
          <w:sz w:val="26"/>
          <w:szCs w:val="26"/>
          <w:lang w:val="es-ES"/>
        </w:rPr>
        <w:t xml:space="preserve">  y a la residencia fiscal española de los causahabientes.</w:t>
      </w:r>
    </w:p>
    <w:p w14:paraId="4DBD4B05"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Residentes UE-EEE o extra UE-EEE  (hasta 2014)</w:t>
      </w:r>
      <w:r>
        <w:rPr>
          <w:rFonts w:ascii="CG Times" w:hAnsi="CG Times"/>
          <w:i/>
          <w:sz w:val="26"/>
          <w:szCs w:val="26"/>
          <w:lang w:val="es-ES"/>
        </w:rPr>
        <w:t xml:space="preserve">  </w:t>
      </w:r>
      <w:r>
        <w:rPr>
          <w:rFonts w:ascii="CG Times" w:hAnsi="CG Times"/>
          <w:sz w:val="26"/>
          <w:szCs w:val="26"/>
          <w:lang w:val="es-ES"/>
        </w:rPr>
        <w:t xml:space="preserve">2º.- Que, conforme a la </w:t>
      </w:r>
      <w:hyperlink r:id="rId258" w:history="1">
        <w:r>
          <w:rPr>
            <w:rStyle w:val="Hipervnculo"/>
            <w:rFonts w:ascii="CG Times" w:hAnsi="CG Times"/>
            <w:sz w:val="26"/>
            <w:szCs w:val="26"/>
            <w:lang w:val="es-ES"/>
          </w:rPr>
          <w:t>Sentencia del Tribunal de Justicia de la Unión Europea de 17 de diciembre de 2013</w:t>
        </w:r>
      </w:hyperlink>
      <w:r>
        <w:rPr>
          <w:rFonts w:ascii="CG Times" w:hAnsi="CG Times"/>
          <w:sz w:val="26"/>
          <w:szCs w:val="26"/>
          <w:lang w:val="es-ES"/>
        </w:rPr>
        <w:t xml:space="preserve"> y, de manera inexcusable, tras la </w:t>
      </w:r>
      <w:hyperlink r:id="rId259" w:history="1">
        <w:r>
          <w:rPr>
            <w:rStyle w:val="Hipervnculo"/>
            <w:rFonts w:ascii="CG Times" w:hAnsi="CG Times"/>
            <w:sz w:val="26"/>
            <w:szCs w:val="26"/>
            <w:lang w:val="es-ES"/>
          </w:rPr>
          <w:t>Sentencia del Tribunal de Justicia de la Unión Europea de 3 de septiembre de 2014</w:t>
        </w:r>
      </w:hyperlink>
      <w:r>
        <w:rPr>
          <w:rFonts w:ascii="CG Times" w:hAnsi="CG Times"/>
          <w:sz w:val="26"/>
          <w:szCs w:val="26"/>
          <w:lang w:val="es-ES"/>
        </w:rPr>
        <w:t xml:space="preserve"> que condena por discriminación al Estado español, si bien está por ver su implementación práctica, </w:t>
      </w:r>
      <w:smartTag w:uri="urn:schemas-microsoft-com:office:smarttags" w:element="PersonName">
        <w:smartTagPr>
          <w:attr w:name="ProductID" w:val="la Hacienda"/>
        </w:smartTagPr>
        <w:r>
          <w:rPr>
            <w:rFonts w:ascii="CG Times" w:hAnsi="CG Times"/>
            <w:sz w:val="26"/>
            <w:szCs w:val="26"/>
            <w:lang w:val="es-ES"/>
          </w:rPr>
          <w:t>la Hacienda</w:t>
        </w:r>
      </w:smartTag>
      <w:r>
        <w:rPr>
          <w:rFonts w:ascii="CG Times" w:hAnsi="CG Times"/>
          <w:sz w:val="26"/>
          <w:szCs w:val="26"/>
          <w:lang w:val="es-ES"/>
        </w:rPr>
        <w:t xml:space="preserve"> competente es la estatal y la normativa aplicable es la asturiana correspondiente a la radicación de los bienes. Sin perjuicio de que si los causahabientes tienen residencia española, la sujeción sea personal, y si tienen residencia extranjera, la sujeción sea real. </w:t>
      </w:r>
      <w:r>
        <w:rPr>
          <w:rFonts w:ascii="CG Times" w:hAnsi="CG Times"/>
          <w:i/>
          <w:sz w:val="26"/>
          <w:szCs w:val="26"/>
          <w:lang w:val="es-ES"/>
        </w:rPr>
        <w:t xml:space="preserve">***franceses </w:t>
      </w:r>
      <w:r>
        <w:rPr>
          <w:rFonts w:ascii="CG Times" w:hAnsi="CG Times"/>
          <w:sz w:val="26"/>
          <w:szCs w:val="26"/>
          <w:lang w:val="es-ES"/>
        </w:rPr>
        <w:t xml:space="preserve">Y tratándose de causahabientes con residencia francesa, además, por aplicación del </w:t>
      </w:r>
      <w:hyperlink r:id="rId260" w:history="1">
        <w:r>
          <w:rPr>
            <w:rStyle w:val="Hipervnculo"/>
            <w:rFonts w:ascii="CG Times" w:hAnsi="CG Times"/>
            <w:sz w:val="26"/>
            <w:szCs w:val="26"/>
            <w:lang w:val="es-ES"/>
          </w:rPr>
          <w:t>Convenio de 1963</w:t>
        </w:r>
      </w:hyperlink>
      <w:r>
        <w:rPr>
          <w:rFonts w:ascii="CG Times" w:hAnsi="CG Times"/>
          <w:sz w:val="26"/>
          <w:szCs w:val="26"/>
          <w:lang w:val="es-ES"/>
        </w:rPr>
        <w:t>.</w:t>
      </w:r>
    </w:p>
    <w:p w14:paraId="71F3ED2F"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Causante residente UE-EEE (desde 2015)</w:t>
      </w:r>
      <w:r>
        <w:rPr>
          <w:rFonts w:ascii="CG Times" w:hAnsi="CG Times"/>
          <w:i/>
          <w:sz w:val="26"/>
          <w:szCs w:val="26"/>
          <w:lang w:val="es-ES"/>
        </w:rPr>
        <w:t xml:space="preserve">  </w:t>
      </w:r>
      <w:r>
        <w:rPr>
          <w:rFonts w:ascii="CG Times" w:hAnsi="CG Times"/>
          <w:sz w:val="26"/>
          <w:szCs w:val="26"/>
          <w:lang w:val="es-ES"/>
        </w:rPr>
        <w:t xml:space="preserve">2º.- Que, conforme a la </w:t>
      </w:r>
      <w:hyperlink r:id="rId261" w:anchor="da2" w:history="1">
        <w:r>
          <w:rPr>
            <w:rStyle w:val="Hipervnculo"/>
            <w:rFonts w:ascii="CG Times" w:hAnsi="CG Times"/>
            <w:sz w:val="26"/>
            <w:szCs w:val="26"/>
            <w:lang w:val="es-ES"/>
          </w:rPr>
          <w:t>disposición adicional segunda de la Ley 29/1987</w:t>
        </w:r>
      </w:hyperlink>
      <w:r>
        <w:rPr>
          <w:rFonts w:ascii="CG Times" w:hAnsi="CG Times"/>
          <w:sz w:val="26"/>
          <w:szCs w:val="26"/>
          <w:lang w:val="es-ES"/>
        </w:rPr>
        <w:t xml:space="preserve">, tras su reforma por la Ley 26/2014 en adecuación a la </w:t>
      </w:r>
      <w:hyperlink r:id="rId262" w:history="1">
        <w:r>
          <w:rPr>
            <w:rStyle w:val="Hipervnculo"/>
            <w:rFonts w:ascii="CG Times" w:hAnsi="CG Times"/>
            <w:sz w:val="26"/>
            <w:szCs w:val="26"/>
            <w:lang w:val="es-ES"/>
          </w:rPr>
          <w:t>Sentencia del Tribunal de Justicia de la Unión Europea de 3 de septiembre de 2014</w:t>
        </w:r>
      </w:hyperlink>
      <w:r>
        <w:rPr>
          <w:rFonts w:ascii="CG Times" w:hAnsi="CG Times"/>
          <w:sz w:val="26"/>
          <w:szCs w:val="26"/>
          <w:lang w:val="es-ES"/>
        </w:rPr>
        <w:t xml:space="preserve">, es aplicable a la sucesión de los bienes en España </w:t>
      </w:r>
      <w:smartTag w:uri="urn:schemas-microsoft-com:office:smarttags" w:element="PersonName">
        <w:smartTagPr>
          <w:attr w:name="ProductID" w:val="la Hacienda"/>
        </w:smartTagPr>
        <w:r>
          <w:rPr>
            <w:rFonts w:ascii="CG Times" w:hAnsi="CG Times"/>
            <w:sz w:val="26"/>
            <w:szCs w:val="26"/>
            <w:lang w:val="es-ES"/>
          </w:rPr>
          <w:t>la Hacienda</w:t>
        </w:r>
      </w:smartTag>
      <w:r>
        <w:rPr>
          <w:rFonts w:ascii="CG Times" w:hAnsi="CG Times"/>
          <w:sz w:val="26"/>
          <w:szCs w:val="26"/>
          <w:lang w:val="es-ES"/>
        </w:rPr>
        <w:t xml:space="preserve"> estatal y la normativa autonómica correspondiente a la radicación de los bienes de mayor valor, por tratarse de causante residente UE-EEE y causahabiente residente o no en España.</w:t>
      </w:r>
    </w:p>
    <w:p w14:paraId="35DF1345" w14:textId="77777777" w:rsidR="00EE1145" w:rsidRDefault="00EE1145">
      <w:pPr>
        <w:spacing w:line="280" w:lineRule="atLeast"/>
        <w:ind w:left="432"/>
        <w:jc w:val="both"/>
        <w:rPr>
          <w:rFonts w:ascii="CG Times" w:hAnsi="CG Times"/>
          <w:i/>
          <w:sz w:val="26"/>
          <w:szCs w:val="26"/>
          <w:lang w:val="es-ES"/>
        </w:rPr>
      </w:pPr>
      <w:r>
        <w:rPr>
          <w:rFonts w:ascii="CG Times" w:hAnsi="CG Times"/>
          <w:sz w:val="26"/>
          <w:szCs w:val="26"/>
          <w:lang w:val="es-ES"/>
        </w:rPr>
        <w:t>Sin perjuicio de que si los causahabientes tienen residencia española, la sujeción sea personal, y si tienen residencia extranjera, la sujeción sea real.</w:t>
      </w:r>
    </w:p>
    <w:p w14:paraId="49F306D2"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 xml:space="preserve">Causante residente España y causahabiente residente UE-EEE (desde 2015) </w:t>
      </w:r>
      <w:r>
        <w:rPr>
          <w:rFonts w:ascii="CG Times" w:hAnsi="CG Times"/>
          <w:i/>
          <w:sz w:val="26"/>
          <w:szCs w:val="26"/>
          <w:lang w:val="es-ES"/>
        </w:rPr>
        <w:t xml:space="preserve"> </w:t>
      </w:r>
      <w:r>
        <w:rPr>
          <w:rFonts w:ascii="CG Times" w:hAnsi="CG Times"/>
          <w:sz w:val="26"/>
          <w:szCs w:val="26"/>
          <w:lang w:val="es-ES"/>
        </w:rPr>
        <w:t xml:space="preserve">2º.- Que, conforme a la </w:t>
      </w:r>
      <w:hyperlink r:id="rId263" w:anchor="da2" w:history="1">
        <w:r>
          <w:rPr>
            <w:rStyle w:val="Hipervnculo"/>
            <w:rFonts w:ascii="CG Times" w:hAnsi="CG Times"/>
            <w:sz w:val="26"/>
            <w:szCs w:val="26"/>
            <w:lang w:val="es-ES"/>
          </w:rPr>
          <w:t>disposición adicional segunda de la Ley 29/1987</w:t>
        </w:r>
      </w:hyperlink>
      <w:r>
        <w:rPr>
          <w:rFonts w:ascii="CG Times" w:hAnsi="CG Times"/>
          <w:sz w:val="26"/>
          <w:szCs w:val="26"/>
          <w:lang w:val="es-ES"/>
        </w:rPr>
        <w:t xml:space="preserve">, tras su reforma por la Ley 26/2014 en adecuación a la </w:t>
      </w:r>
      <w:hyperlink r:id="rId264" w:history="1">
        <w:r>
          <w:rPr>
            <w:rStyle w:val="Hipervnculo"/>
            <w:rFonts w:ascii="CG Times" w:hAnsi="CG Times"/>
            <w:sz w:val="26"/>
            <w:szCs w:val="26"/>
            <w:lang w:val="es-ES"/>
          </w:rPr>
          <w:t>Sentencia del Tribunal de Justicia de la Unión Europea de 3 de septiembre de 2014</w:t>
        </w:r>
      </w:hyperlink>
      <w:r>
        <w:rPr>
          <w:rFonts w:ascii="CG Times" w:hAnsi="CG Times"/>
          <w:sz w:val="26"/>
          <w:szCs w:val="26"/>
          <w:lang w:val="es-ES"/>
        </w:rPr>
        <w:t xml:space="preserve">, es aplicable a la sucesión de los bienes en España </w:t>
      </w:r>
      <w:smartTag w:uri="urn:schemas-microsoft-com:office:smarttags" w:element="PersonName">
        <w:smartTagPr>
          <w:attr w:name="ProductID" w:val="la Hacienda"/>
        </w:smartTagPr>
        <w:r>
          <w:rPr>
            <w:rFonts w:ascii="CG Times" w:hAnsi="CG Times"/>
            <w:sz w:val="26"/>
            <w:szCs w:val="26"/>
            <w:lang w:val="es-ES"/>
          </w:rPr>
          <w:t>la Hacienda</w:t>
        </w:r>
      </w:smartTag>
      <w:r>
        <w:rPr>
          <w:rFonts w:ascii="CG Times" w:hAnsi="CG Times"/>
          <w:sz w:val="26"/>
          <w:szCs w:val="26"/>
          <w:lang w:val="es-ES"/>
        </w:rPr>
        <w:t xml:space="preserve"> estatal y la normativa autonómica correspondiente a dicha residencia del causante, por tratarse de causante residente en España y causahabiente residente UE-EEE, por sujeción real.</w:t>
      </w:r>
    </w:p>
    <w:p w14:paraId="0B598E71" w14:textId="77777777" w:rsidR="00B8550D" w:rsidRPr="00B8550D" w:rsidRDefault="00EE1145" w:rsidP="00B8550D">
      <w:pPr>
        <w:spacing w:line="280" w:lineRule="atLeast"/>
        <w:ind w:left="432"/>
        <w:jc w:val="both"/>
        <w:rPr>
          <w:rFonts w:ascii="CG Times" w:hAnsi="CG Times"/>
          <w:sz w:val="26"/>
          <w:szCs w:val="26"/>
          <w:lang w:val="es-ES"/>
        </w:rPr>
      </w:pPr>
      <w:r>
        <w:rPr>
          <w:rFonts w:ascii="CG Times" w:hAnsi="CG Times"/>
          <w:i/>
          <w:color w:val="FF0000"/>
          <w:sz w:val="26"/>
          <w:szCs w:val="26"/>
          <w:lang w:val="es-ES"/>
        </w:rPr>
        <w:t>Resto  (desde 2015)</w:t>
      </w:r>
      <w:r>
        <w:rPr>
          <w:rFonts w:ascii="CG Times" w:hAnsi="CG Times"/>
          <w:i/>
          <w:sz w:val="26"/>
          <w:szCs w:val="26"/>
          <w:lang w:val="es-ES"/>
        </w:rPr>
        <w:t xml:space="preserve">  </w:t>
      </w:r>
      <w:r>
        <w:rPr>
          <w:rFonts w:ascii="CG Times" w:hAnsi="CG Times"/>
          <w:sz w:val="26"/>
          <w:szCs w:val="26"/>
          <w:lang w:val="es-ES"/>
        </w:rPr>
        <w:t xml:space="preserve">2º.- Que </w:t>
      </w:r>
      <w:smartTag w:uri="urn:schemas-microsoft-com:office:smarttags" w:element="PersonName">
        <w:smartTagPr>
          <w:attr w:name="ProductID" w:val="la Hacienda"/>
        </w:smartTagPr>
        <w:r>
          <w:rPr>
            <w:rFonts w:ascii="CG Times" w:hAnsi="CG Times"/>
            <w:sz w:val="26"/>
            <w:szCs w:val="26"/>
            <w:lang w:val="es-ES"/>
          </w:rPr>
          <w:t>la Hacienda</w:t>
        </w:r>
      </w:smartTag>
      <w:r>
        <w:rPr>
          <w:rFonts w:ascii="CG Times" w:hAnsi="CG Times"/>
          <w:sz w:val="26"/>
          <w:szCs w:val="26"/>
          <w:lang w:val="es-ES"/>
        </w:rPr>
        <w:t xml:space="preserve"> competente y la normativa aplicable es la estatal correspondiente ***a la residencia española del causante y residencia extra UE-EEE del causahabiente (en este caso por sujeción real) </w:t>
      </w:r>
      <w:r>
        <w:rPr>
          <w:rFonts w:ascii="CG Times" w:hAnsi="CG Times"/>
          <w:sz w:val="26"/>
          <w:szCs w:val="26"/>
          <w:lang w:val="es-ES"/>
        </w:rPr>
        <w:lastRenderedPageBreak/>
        <w:t xml:space="preserve">*** a la residencia extra UE-EEE del causante y residencia española del causahabiente (en este caso por sujeción personal) ***a la residencia extra UE-EEE del causante y no residencia española de los causahabientes (en este caso por sujeción real); advirtiendo que la no aplicación de los beneficios autonómicos </w:t>
      </w:r>
      <w:r w:rsidR="00B8550D" w:rsidRPr="00B8550D">
        <w:rPr>
          <w:rFonts w:ascii="CG Times" w:hAnsi="CG Times"/>
          <w:sz w:val="26"/>
          <w:szCs w:val="26"/>
          <w:lang w:val="es-ES"/>
        </w:rPr>
        <w:t xml:space="preserve">podría contravenir las </w:t>
      </w:r>
      <w:hyperlink r:id="rId265" w:history="1">
        <w:r w:rsidR="00B8550D" w:rsidRPr="00B8550D">
          <w:rPr>
            <w:rStyle w:val="Hipervnculo"/>
            <w:rFonts w:ascii="CG Times" w:hAnsi="CG Times"/>
            <w:sz w:val="26"/>
            <w:szCs w:val="26"/>
            <w:lang w:val="es-ES"/>
          </w:rPr>
          <w:t>Sentencias del Tribunal de Justicia de la Unión Europea de 17 de diciembre de 2013</w:t>
        </w:r>
      </w:hyperlink>
      <w:r w:rsidR="00B8550D" w:rsidRPr="00B8550D">
        <w:rPr>
          <w:rFonts w:ascii="CG Times" w:hAnsi="CG Times"/>
          <w:sz w:val="26"/>
          <w:szCs w:val="26"/>
          <w:lang w:val="es-ES"/>
        </w:rPr>
        <w:t xml:space="preserve"> y la </w:t>
      </w:r>
      <w:hyperlink r:id="rId266" w:history="1">
        <w:r w:rsidR="00B8550D" w:rsidRPr="00B8550D">
          <w:rPr>
            <w:rStyle w:val="Hipervnculo"/>
            <w:rFonts w:ascii="CG Times" w:hAnsi="CG Times"/>
            <w:sz w:val="26"/>
            <w:szCs w:val="26"/>
            <w:lang w:val="es-ES"/>
          </w:rPr>
          <w:t>3 de septiembre de 2014</w:t>
        </w:r>
      </w:hyperlink>
      <w:r w:rsidR="00B8550D" w:rsidRPr="00B8550D">
        <w:rPr>
          <w:rFonts w:ascii="CG Times" w:hAnsi="CG Times"/>
          <w:sz w:val="26"/>
          <w:szCs w:val="26"/>
          <w:lang w:val="es-ES"/>
        </w:rPr>
        <w:t xml:space="preserve">, así como la </w:t>
      </w:r>
      <w:hyperlink r:id="rId267" w:history="1">
        <w:r w:rsidR="00B8550D" w:rsidRPr="00B8550D">
          <w:rPr>
            <w:rStyle w:val="Hipervnculo"/>
            <w:rFonts w:ascii="CG Times" w:hAnsi="CG Times"/>
            <w:sz w:val="26"/>
            <w:szCs w:val="26"/>
            <w:lang w:val="es-ES"/>
          </w:rPr>
          <w:t>Sentencia del Tribunal Supremo español de 19 de febrero de 2018</w:t>
        </w:r>
      </w:hyperlink>
      <w:r w:rsidR="00B8550D" w:rsidRPr="00B8550D">
        <w:rPr>
          <w:rFonts w:ascii="CG Times" w:hAnsi="CG Times"/>
          <w:sz w:val="26"/>
          <w:szCs w:val="26"/>
          <w:lang w:val="es-ES"/>
        </w:rPr>
        <w:t xml:space="preserve"> y la </w:t>
      </w:r>
      <w:hyperlink r:id="rId268" w:history="1">
        <w:r w:rsidR="00B8550D" w:rsidRPr="00B8550D">
          <w:rPr>
            <w:rStyle w:val="Hipervnculo"/>
            <w:rFonts w:ascii="CG Times" w:hAnsi="CG Times"/>
            <w:bCs/>
            <w:sz w:val="26"/>
            <w:szCs w:val="26"/>
            <w:lang w:val="es-ES"/>
          </w:rPr>
          <w:t>Resolución de la Dirección General de Tributos de 11 de diciembre de 2018</w:t>
        </w:r>
      </w:hyperlink>
      <w:r w:rsidR="00B8550D" w:rsidRPr="00B8550D">
        <w:rPr>
          <w:rFonts w:ascii="CG Times" w:hAnsi="CG Times"/>
          <w:sz w:val="26"/>
          <w:szCs w:val="26"/>
          <w:lang w:val="es-ES"/>
        </w:rPr>
        <w:t>.</w:t>
      </w:r>
    </w:p>
    <w:p w14:paraId="05BA4AF6"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Si se ha liquidado antes</w:t>
      </w:r>
      <w:r>
        <w:rPr>
          <w:rFonts w:ascii="CG Times" w:hAnsi="CG Times"/>
          <w:sz w:val="26"/>
          <w:szCs w:val="26"/>
          <w:lang w:val="es-ES"/>
        </w:rPr>
        <w:t xml:space="preserve"> 3º.- Que, sin perjuicio de las posibles exenciones y prescripción, ya han presentado esta herencia a liquidación, sin que las valoraciones contenidas en esta escritura, referidas a la fecha de la adjudicación, pretendan desplazar a las contenidas en esa primera declaración, referidas a la fecha del devengo; advirtiéndoles que deberán acompañar el correspondiente documento acreditativo a las copias que de la presente se expidan para su admisión en los Juzgados, Tribunales, Oficinas y Registros públicos, y que es criterio de la </w:t>
      </w:r>
      <w:hyperlink r:id="rId269" w:history="1">
        <w:r>
          <w:rPr>
            <w:rStyle w:val="Hipervnculo"/>
            <w:rFonts w:ascii="CG Times" w:hAnsi="CG Times"/>
            <w:sz w:val="26"/>
            <w:szCs w:val="26"/>
            <w:lang w:val="es-ES"/>
          </w:rPr>
          <w:t>Resolución DGRN de 6 de mayo de 2014</w:t>
        </w:r>
      </w:hyperlink>
      <w:r>
        <w:rPr>
          <w:rFonts w:ascii="CG Times" w:hAnsi="CG Times"/>
          <w:sz w:val="26"/>
          <w:szCs w:val="26"/>
          <w:lang w:val="es-ES"/>
        </w:rPr>
        <w:t xml:space="preserve"> la exigencia de acreditación de nueva presentación ante la oficina tributaria competente de la escritura pública otorgada.</w:t>
      </w:r>
    </w:p>
    <w:p w14:paraId="56DA84E6"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Si se quiere añadir la identificación de la liquidación (práctico en el caso de herencias seguidas de compraventa)</w:t>
      </w:r>
      <w:r>
        <w:rPr>
          <w:rFonts w:ascii="CG Times" w:hAnsi="CG Times"/>
          <w:sz w:val="26"/>
          <w:szCs w:val="26"/>
          <w:lang w:val="es-ES"/>
        </w:rPr>
        <w:t xml:space="preserve"> 3º bis.- Que los datos de identificación de tales liquidaciones son:</w:t>
      </w:r>
    </w:p>
    <w:p w14:paraId="18295AFA" w14:textId="77777777" w:rsidR="00EE1145" w:rsidRDefault="00EE1145">
      <w:pPr>
        <w:spacing w:line="280" w:lineRule="atLeast"/>
        <w:ind w:left="432"/>
        <w:jc w:val="both"/>
        <w:rPr>
          <w:rFonts w:ascii="CG Times" w:hAnsi="CG Times"/>
          <w:sz w:val="26"/>
          <w:szCs w:val="26"/>
        </w:rPr>
      </w:pPr>
      <w:r>
        <w:rPr>
          <w:rFonts w:ascii="CG Times" w:hAnsi="CG Times"/>
          <w:sz w:val="26"/>
          <w:szCs w:val="26"/>
          <w:lang w:val="es-ES"/>
        </w:rPr>
        <w:t>-</w:t>
      </w:r>
      <w:r>
        <w:rPr>
          <w:rFonts w:ascii="CG Times" w:hAnsi="CG Times"/>
          <w:sz w:val="26"/>
          <w:szCs w:val="26"/>
        </w:rPr>
        <w:t xml:space="preserve"> La herencia de ***  se liquidó el día *** (***) ante ***.</w:t>
      </w:r>
    </w:p>
    <w:p w14:paraId="0593E01F" w14:textId="77777777" w:rsidR="00EE1145" w:rsidRDefault="00EE1145">
      <w:pPr>
        <w:spacing w:line="280" w:lineRule="atLeast"/>
        <w:ind w:left="432"/>
        <w:jc w:val="both"/>
        <w:rPr>
          <w:rFonts w:ascii="CG Times" w:hAnsi="CG Times"/>
          <w:sz w:val="26"/>
          <w:szCs w:val="26"/>
        </w:rPr>
      </w:pPr>
      <w:r>
        <w:rPr>
          <w:rFonts w:ascii="CG Times" w:hAnsi="CG Times"/>
          <w:sz w:val="26"/>
          <w:szCs w:val="26"/>
          <w:lang w:val="es-ES"/>
        </w:rPr>
        <w:t>-</w:t>
      </w:r>
      <w:r>
        <w:rPr>
          <w:rFonts w:ascii="CG Times" w:hAnsi="CG Times"/>
          <w:sz w:val="26"/>
          <w:szCs w:val="26"/>
        </w:rPr>
        <w:t xml:space="preserve"> La herencia de ***  se liquidó el día *** (***) ante ***.</w:t>
      </w:r>
    </w:p>
    <w:p w14:paraId="1509BAB0"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Si está prescrita</w:t>
      </w:r>
      <w:r>
        <w:rPr>
          <w:rFonts w:ascii="CG Times" w:hAnsi="CG Times"/>
          <w:sz w:val="26"/>
          <w:szCs w:val="26"/>
          <w:lang w:val="es-ES"/>
        </w:rPr>
        <w:t xml:space="preserve"> 3º.- Que, dado el tiempo transcurrido desde el fallecimiento del causante, entienden prescrito el Impuesto sobre Sucesiones.</w:t>
      </w:r>
    </w:p>
    <w:p w14:paraId="314BB8F9"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Si no paga por parentesco (en Asturias desde el 01/01/09 150.000 -</w:t>
      </w:r>
      <w:r>
        <w:rPr>
          <w:rFonts w:ascii="Times New Roman" w:hAnsi="Times New Roman"/>
          <w:color w:val="FF0000"/>
          <w:sz w:val="26"/>
          <w:szCs w:val="26"/>
          <w:lang w:val="es-ES"/>
        </w:rPr>
        <w:t xml:space="preserve">145.631,06 € </w:t>
      </w:r>
      <w:r>
        <w:rPr>
          <w:rFonts w:ascii="CG Times" w:hAnsi="CG Times"/>
          <w:i/>
          <w:color w:val="FF0000"/>
          <w:sz w:val="26"/>
          <w:szCs w:val="26"/>
          <w:lang w:val="es-ES"/>
        </w:rPr>
        <w:t>por el ajuar-; en Asturias desde el 01/01/17 al 31/05/17 reducción de 200.000; en Asturias desde el 01/06/17 reducción de 300.000)</w:t>
      </w:r>
      <w:r>
        <w:rPr>
          <w:rFonts w:ascii="CG Times" w:hAnsi="CG Times"/>
          <w:sz w:val="26"/>
          <w:szCs w:val="26"/>
          <w:lang w:val="es-ES"/>
        </w:rPr>
        <w:t xml:space="preserve"> 3º.- Que, dada la cuantía de la base imponible y la correspondiente reducción estatal/autonómica para cónyuge, descendientes y ascendientes del causante, entienden que la base liquidable correspondiente a los mismos es cero.</w:t>
      </w:r>
    </w:p>
    <w:p w14:paraId="4103E36D"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Si no paga por discapacidad (en Asturias bonificación en la cuota del 100% para minusvalías del 65%, desde el 01/06/17</w:t>
      </w:r>
      <w:r w:rsidR="008202E8" w:rsidRPr="003E7C96">
        <w:rPr>
          <w:rFonts w:ascii="CG Times" w:hAnsi="CG Times"/>
          <w:i/>
          <w:color w:val="FF0000"/>
          <w:sz w:val="26"/>
          <w:szCs w:val="26"/>
          <w:lang w:val="es-ES"/>
        </w:rPr>
        <w:t xml:space="preserve">; </w:t>
      </w:r>
      <w:r w:rsidR="008202E8" w:rsidRPr="003E7C96">
        <w:rPr>
          <w:rFonts w:ascii="Times New Roman" w:hAnsi="Times New Roman"/>
          <w:i/>
          <w:color w:val="FF0000"/>
          <w:sz w:val="26"/>
          <w:szCs w:val="26"/>
          <w:lang w:val="es-ES"/>
        </w:rPr>
        <w:t>adicional a la que pueda corresponder por parentesco, de 47.858,59 euros para minusvalías entre 33 y 64%, y de 150.253,03 euros para minusvalías iguales o superiores al 65%</w:t>
      </w:r>
      <w:r w:rsidRPr="003E7C96">
        <w:rPr>
          <w:rFonts w:ascii="CG Times" w:hAnsi="CG Times"/>
          <w:i/>
          <w:color w:val="FF0000"/>
          <w:sz w:val="26"/>
          <w:szCs w:val="26"/>
          <w:lang w:val="es-ES"/>
        </w:rPr>
        <w:t>)</w:t>
      </w:r>
      <w:r>
        <w:rPr>
          <w:rFonts w:ascii="CG Times" w:hAnsi="CG Times"/>
          <w:sz w:val="26"/>
          <w:szCs w:val="26"/>
          <w:lang w:val="es-ES"/>
        </w:rPr>
        <w:t xml:space="preserve"> 3º.- Que, dada la cuantía de la base imponible y la correspondiente reducción estatal/autonómica para causahabientes discapacitados, entienden que la base liquidable correspondiente al mismo es cero.</w:t>
      </w:r>
    </w:p>
    <w:p w14:paraId="4D38A490"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 xml:space="preserve">401.678,11 € conforme al IP. Computa lo que se recibe por liquidación de gananciales. Según la </w:t>
      </w:r>
      <w:hyperlink r:id="rId270" w:history="1">
        <w:r>
          <w:rPr>
            <w:rStyle w:val="Hipervnculo"/>
            <w:rFonts w:ascii="CG Times" w:hAnsi="CG Times"/>
            <w:i/>
            <w:color w:val="FF0000"/>
            <w:sz w:val="26"/>
            <w:szCs w:val="26"/>
            <w:lang w:val="es-ES"/>
          </w:rPr>
          <w:t>Resolución DGT de 24 de noviembre de 2006</w:t>
        </w:r>
      </w:hyperlink>
      <w:r>
        <w:rPr>
          <w:rFonts w:ascii="CG Times" w:hAnsi="CG Times"/>
          <w:i/>
          <w:color w:val="FF0000"/>
          <w:sz w:val="26"/>
          <w:szCs w:val="26"/>
          <w:lang w:val="es-ES"/>
        </w:rPr>
        <w:t xml:space="preserve"> computan los llamados "bienes exentos" en el IP </w:t>
      </w:r>
      <w:r>
        <w:rPr>
          <w:rFonts w:ascii="CG Times" w:hAnsi="CG Times"/>
          <w:color w:val="FF0000"/>
          <w:sz w:val="26"/>
          <w:szCs w:val="26"/>
          <w:lang w:val="es-ES"/>
        </w:rPr>
        <w:t xml:space="preserve"> </w:t>
      </w:r>
      <w:r>
        <w:rPr>
          <w:rFonts w:ascii="CG Times" w:hAnsi="CG Times"/>
          <w:i/>
          <w:color w:val="FF0000"/>
          <w:sz w:val="26"/>
          <w:szCs w:val="26"/>
          <w:lang w:val="es-ES"/>
        </w:rPr>
        <w:t xml:space="preserve">planes de pensiones, bienes empresariales y 300.000 € de la vivienda habitual), lo cual es discutible pues no conforman la base imponible (a diferencia de la reducción general de </w:t>
      </w:r>
      <w:r>
        <w:rPr>
          <w:rFonts w:ascii="CG Times" w:hAnsi="CG Times"/>
          <w:i/>
          <w:color w:val="FF0000"/>
          <w:sz w:val="26"/>
          <w:szCs w:val="26"/>
          <w:lang w:val="es-ES"/>
        </w:rPr>
        <w:lastRenderedPageBreak/>
        <w:t>700.000 €</w:t>
      </w:r>
      <w:r>
        <w:rPr>
          <w:rFonts w:ascii="CG Times" w:hAnsi="CG Times"/>
          <w:i/>
          <w:sz w:val="26"/>
          <w:szCs w:val="26"/>
          <w:lang w:val="es-ES"/>
        </w:rPr>
        <w:t xml:space="preserve">) </w:t>
      </w:r>
      <w:r>
        <w:rPr>
          <w:rFonts w:ascii="CG Times" w:hAnsi="CG Times"/>
          <w:sz w:val="26"/>
          <w:szCs w:val="26"/>
          <w:lang w:val="es-ES"/>
        </w:rPr>
        <w:t xml:space="preserve">4º.- Que, en cualquier caso, su patrimonio preexistente es inferior al mínimo establecido para la fijación de la cuota tributaria, </w:t>
      </w:r>
      <w:r>
        <w:rPr>
          <w:rFonts w:ascii="CG Times" w:hAnsi="CG Times"/>
          <w:i/>
          <w:sz w:val="26"/>
          <w:szCs w:val="26"/>
          <w:lang w:val="es-ES"/>
        </w:rPr>
        <w:t>***causante asturiano</w:t>
      </w:r>
      <w:r>
        <w:rPr>
          <w:rFonts w:ascii="CG Times" w:hAnsi="CG Times"/>
          <w:sz w:val="26"/>
          <w:szCs w:val="26"/>
          <w:lang w:val="es-ES"/>
        </w:rPr>
        <w:t xml:space="preserve"> por lo que para los descendientes menores de 21 años la cuota tributaria es cero.</w:t>
      </w:r>
    </w:p>
    <w:p w14:paraId="110E0B98"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Si hay reducción por  vivienda habitual causante asturiano</w:t>
      </w:r>
      <w:r>
        <w:rPr>
          <w:rFonts w:ascii="CG Times" w:hAnsi="CG Times"/>
          <w:i/>
          <w:sz w:val="26"/>
          <w:szCs w:val="26"/>
          <w:lang w:val="es-ES"/>
        </w:rPr>
        <w:t xml:space="preserve"> </w:t>
      </w:r>
      <w:r>
        <w:rPr>
          <w:rFonts w:ascii="CG Times" w:hAnsi="CG Times"/>
          <w:sz w:val="26"/>
          <w:szCs w:val="26"/>
          <w:lang w:val="es-ES"/>
        </w:rPr>
        <w:t xml:space="preserve">5º.- Que es de aplicación al bien descrito en el apartado ***  la reducción en la base imponible del 95% (desde el 1 de enero de 2004 para los causantes asturianos dicho porcentaje es del 99% los primeros 90.000 €, del 98% hasta 120.000 €, del 97% hasta 180.000, del 96% hasta 240.000 y del 95% lo que exceda) del valor correspondiente, prevista en el </w:t>
      </w:r>
      <w:hyperlink r:id="rId271" w:anchor="a20" w:history="1">
        <w:r>
          <w:rPr>
            <w:rStyle w:val="Hipervnculo"/>
            <w:rFonts w:ascii="CG Times" w:hAnsi="CG Times"/>
            <w:sz w:val="26"/>
            <w:szCs w:val="26"/>
            <w:lang w:val="es-ES"/>
          </w:rPr>
          <w:t>artículo 20-2-c de la Ley estatal del Impuesto sobre Sucesiones y Donaciones</w:t>
        </w:r>
      </w:hyperlink>
      <w:r>
        <w:rPr>
          <w:rFonts w:ascii="CG Times" w:hAnsi="CG Times"/>
          <w:sz w:val="26"/>
          <w:szCs w:val="26"/>
          <w:lang w:val="es-ES"/>
        </w:rPr>
        <w:t xml:space="preserve"> (con el límite de 122.606,47 € por causahabiente) y en el </w:t>
      </w:r>
      <w:hyperlink r:id="rId272" w:anchor="a17" w:history="1">
        <w:r>
          <w:rPr>
            <w:rStyle w:val="Hipervnculo"/>
            <w:spacing w:val="6"/>
            <w:sz w:val="26"/>
            <w:szCs w:val="26"/>
          </w:rPr>
          <w:t>art. 17-bis del Decreto-legislativo asturiano 2/2014</w:t>
        </w:r>
      </w:hyperlink>
      <w:r>
        <w:rPr>
          <w:color w:val="000000"/>
          <w:spacing w:val="6"/>
          <w:sz w:val="26"/>
          <w:szCs w:val="26"/>
        </w:rPr>
        <w:t xml:space="preserve"> </w:t>
      </w:r>
      <w:r>
        <w:rPr>
          <w:rFonts w:ascii="CG Times" w:hAnsi="CG Times"/>
          <w:sz w:val="26"/>
          <w:szCs w:val="26"/>
          <w:lang w:val="es-ES"/>
        </w:rPr>
        <w:t>para la adquisición “mortis causa” de la vivienda habitual del causante; comprometiéndose el adjudicatario a mantener tal adquisición durante los 10 años siguientes al fallecimiento del causante (desde el 1 de junio de 2017, para los causantes asturianos dicho plazo es de 3 años).</w:t>
      </w:r>
    </w:p>
    <w:p w14:paraId="62DF938B"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Si hay reducción por patrimonio empresarial causante asturiano en favor de parientes</w:t>
      </w:r>
      <w:r>
        <w:rPr>
          <w:rFonts w:ascii="CG Times" w:hAnsi="CG Times"/>
          <w:i/>
          <w:color w:val="000000"/>
          <w:sz w:val="26"/>
          <w:szCs w:val="26"/>
          <w:lang w:val="es-ES"/>
        </w:rPr>
        <w:t xml:space="preserve">  </w:t>
      </w:r>
      <w:r>
        <w:rPr>
          <w:rFonts w:ascii="CG Times" w:hAnsi="CG Times"/>
          <w:color w:val="000000"/>
          <w:sz w:val="26"/>
          <w:szCs w:val="26"/>
          <w:lang w:val="es-ES"/>
        </w:rPr>
        <w:t>6º.- Que</w:t>
      </w:r>
      <w:r>
        <w:rPr>
          <w:rFonts w:ascii="CG Times" w:hAnsi="CG Times"/>
          <w:sz w:val="26"/>
          <w:szCs w:val="26"/>
          <w:lang w:val="es-ES"/>
        </w:rPr>
        <w:t xml:space="preserve"> es de aplicación al bien descrito en el apartado ***  la reducción estatal en la base imponible del 95% del valor correspondiente más la reducción asturiana del 4% (para sucesiones causadas a partir del 1 de junio de 2017) en el caso de que el domicilio fiscal estuviera en territorio asturiano, previstas respectivamente en el </w:t>
      </w:r>
      <w:hyperlink r:id="rId273" w:anchor="a20" w:history="1">
        <w:r>
          <w:rPr>
            <w:rStyle w:val="Hipervnculo"/>
            <w:rFonts w:ascii="CG Times" w:hAnsi="CG Times"/>
            <w:sz w:val="26"/>
            <w:szCs w:val="26"/>
            <w:lang w:val="es-ES"/>
          </w:rPr>
          <w:t>artículo 20-2-c de la Ley estatal del Impuesto sobre Sucesiones y Donaciones</w:t>
        </w:r>
      </w:hyperlink>
      <w:r>
        <w:rPr>
          <w:rFonts w:ascii="CG Times" w:hAnsi="CG Times"/>
          <w:sz w:val="26"/>
          <w:szCs w:val="26"/>
          <w:lang w:val="es-ES"/>
        </w:rPr>
        <w:t xml:space="preserve"> y en el </w:t>
      </w:r>
      <w:hyperlink r:id="rId274" w:anchor="a17" w:history="1">
        <w:r>
          <w:rPr>
            <w:rStyle w:val="Hipervnculo"/>
            <w:spacing w:val="6"/>
            <w:sz w:val="26"/>
            <w:szCs w:val="26"/>
          </w:rPr>
          <w:t>artículo 18 del Decreto-legislativo asturiano 2/2014</w:t>
        </w:r>
      </w:hyperlink>
      <w:r>
        <w:rPr>
          <w:rFonts w:ascii="CG Times" w:hAnsi="CG Times"/>
          <w:sz w:val="26"/>
          <w:szCs w:val="26"/>
          <w:lang w:val="es-ES"/>
        </w:rPr>
        <w:t>, para la adquisición “mortis causa” de la empresa individual, negocio profesional y participación en entidades del causante; comprometiéndose el adjudicatario a mantener tal adquisición durante los 10 años siguientes  al fallecimiento del causante en el caso de la reducción estatal, y 5 años en el caso de la reducción asturiana (para sucesiones causadas a partir del 1 de junio de 2017) y, en este último caso, dicha domiciliación fiscal asturiana.</w:t>
      </w:r>
    </w:p>
    <w:p w14:paraId="362C26B8"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Si hay reducción por explotación agraria asturiana en favor de parientes</w:t>
      </w:r>
      <w:r>
        <w:rPr>
          <w:rFonts w:ascii="CG Times" w:hAnsi="CG Times"/>
          <w:i/>
          <w:sz w:val="26"/>
          <w:szCs w:val="26"/>
          <w:lang w:val="es-ES"/>
        </w:rPr>
        <w:t xml:space="preserve"> </w:t>
      </w:r>
      <w:r>
        <w:rPr>
          <w:rFonts w:ascii="CG Times" w:hAnsi="CG Times"/>
          <w:sz w:val="26"/>
          <w:szCs w:val="26"/>
          <w:lang w:val="es-ES"/>
        </w:rPr>
        <w:t xml:space="preserve">7º.- Que es de aplicación al bien descrito en el apartado ***  la reducción asturiana en la base imponible del 99% prevista, con efectos desde el 1 de junio de 2017, en el </w:t>
      </w:r>
      <w:hyperlink r:id="rId275" w:anchor="a17" w:history="1">
        <w:r>
          <w:rPr>
            <w:rStyle w:val="Hipervnculo"/>
            <w:spacing w:val="6"/>
            <w:sz w:val="26"/>
            <w:szCs w:val="26"/>
          </w:rPr>
          <w:t>artículo 18-bis del Decreto-legislativo asturiano 2/2014</w:t>
        </w:r>
      </w:hyperlink>
      <w:r>
        <w:rPr>
          <w:rFonts w:ascii="CG Times" w:hAnsi="CG Times"/>
          <w:sz w:val="26"/>
          <w:szCs w:val="26"/>
          <w:lang w:val="es-ES"/>
        </w:rPr>
        <w:t>, para la adquisición "mortis causa" de una explotación agraria ubicada en Asturias o de elementos afectos, así como de derechos de usufructo, cuando concurran los siguientes requisitos:</w:t>
      </w:r>
    </w:p>
    <w:p w14:paraId="56D637E9" w14:textId="77777777" w:rsidR="00EE1145" w:rsidRDefault="00EE1145">
      <w:pPr>
        <w:spacing w:line="280" w:lineRule="atLeast"/>
        <w:ind w:left="432"/>
        <w:jc w:val="both"/>
        <w:rPr>
          <w:color w:val="000000"/>
          <w:spacing w:val="6"/>
          <w:sz w:val="26"/>
          <w:szCs w:val="26"/>
        </w:rPr>
      </w:pPr>
      <w:r>
        <w:rPr>
          <w:color w:val="000000"/>
          <w:spacing w:val="6"/>
          <w:sz w:val="26"/>
          <w:szCs w:val="26"/>
        </w:rPr>
        <w:t xml:space="preserve">- Que, tratándose de explotaciones agrarias, el causante o su cónyuge tuviesen en la fecha del devengo la condición de agricultor profesional; y se </w:t>
      </w:r>
      <w:r>
        <w:rPr>
          <w:rFonts w:ascii="CG Times" w:hAnsi="CG Times"/>
          <w:color w:val="000000"/>
          <w:sz w:val="26"/>
          <w:szCs w:val="26"/>
        </w:rPr>
        <w:t xml:space="preserve">hayan ejercido efectivamente las actividades durante los 2 años anteriores; y, tratándose de elementos afectos, el adquirente o su cónyuge tuviesen en la fecha del devengo la condición de agricultor profesional y sean titulares de una explotación agraria a la cual estén afectos los elementos que se </w:t>
      </w:r>
      <w:r>
        <w:rPr>
          <w:rFonts w:ascii="CG Times" w:hAnsi="CG Times"/>
          <w:color w:val="000000"/>
          <w:sz w:val="26"/>
          <w:szCs w:val="26"/>
        </w:rPr>
        <w:lastRenderedPageBreak/>
        <w:t xml:space="preserve">transmiten. Todo ello conforme a la </w:t>
      </w:r>
      <w:hyperlink r:id="rId276" w:history="1">
        <w:r>
          <w:rPr>
            <w:rStyle w:val="Hipervnculo"/>
            <w:rFonts w:ascii="CG Times" w:hAnsi="CG Times"/>
            <w:sz w:val="26"/>
            <w:szCs w:val="26"/>
          </w:rPr>
          <w:t>Ley 19/1995 de Modernización de las explotaciones agrarias</w:t>
        </w:r>
      </w:hyperlink>
      <w:r>
        <w:rPr>
          <w:rFonts w:ascii="CG Times" w:hAnsi="CG Times"/>
          <w:color w:val="000000"/>
          <w:sz w:val="26"/>
          <w:szCs w:val="26"/>
        </w:rPr>
        <w:t>.</w:t>
      </w:r>
    </w:p>
    <w:p w14:paraId="732BC207" w14:textId="77777777" w:rsidR="00EE1145" w:rsidRDefault="00EE1145">
      <w:pPr>
        <w:spacing w:line="280" w:lineRule="atLeast"/>
        <w:ind w:left="432"/>
        <w:jc w:val="both"/>
        <w:rPr>
          <w:color w:val="000000"/>
          <w:spacing w:val="6"/>
          <w:sz w:val="26"/>
          <w:szCs w:val="26"/>
        </w:rPr>
      </w:pPr>
      <w:r>
        <w:rPr>
          <w:color w:val="000000"/>
          <w:spacing w:val="6"/>
          <w:sz w:val="26"/>
          <w:szCs w:val="26"/>
        </w:rPr>
        <w:t>- Que el causahabiente sea cónyuge, descendiente, ascendiente o colateral por consanguinidad hasta el tercer grado del causante.</w:t>
      </w:r>
    </w:p>
    <w:p w14:paraId="70BF8552" w14:textId="77777777" w:rsidR="00EE1145" w:rsidRDefault="00EE1145">
      <w:pPr>
        <w:spacing w:line="280" w:lineRule="atLeast"/>
        <w:ind w:left="432"/>
        <w:jc w:val="both"/>
        <w:rPr>
          <w:rFonts w:ascii="CG Times" w:hAnsi="CG Times"/>
          <w:color w:val="000000"/>
          <w:sz w:val="26"/>
          <w:szCs w:val="26"/>
        </w:rPr>
      </w:pPr>
      <w:r>
        <w:rPr>
          <w:color w:val="000000"/>
          <w:spacing w:val="6"/>
          <w:sz w:val="26"/>
          <w:szCs w:val="26"/>
        </w:rPr>
        <w:t>- Que el causahabiente mantenga la adquisición y su condición de agricultor profesional durante 5 años</w:t>
      </w:r>
      <w:r>
        <w:rPr>
          <w:rFonts w:ascii="CG Times" w:hAnsi="CG Times"/>
          <w:color w:val="000000"/>
          <w:sz w:val="26"/>
          <w:szCs w:val="26"/>
        </w:rPr>
        <w:t>, salvo fallecimiento o transmisión en virtud de pacto sucesorio.</w:t>
      </w:r>
    </w:p>
    <w:p w14:paraId="7E6A8183" w14:textId="77777777" w:rsidR="00EE1145" w:rsidRDefault="00EE1145">
      <w:pPr>
        <w:spacing w:line="280" w:lineRule="atLeast"/>
        <w:ind w:left="432"/>
        <w:jc w:val="both"/>
        <w:rPr>
          <w:rFonts w:ascii="CG Times" w:hAnsi="CG Times"/>
          <w:color w:val="000000"/>
          <w:sz w:val="26"/>
          <w:szCs w:val="26"/>
        </w:rPr>
      </w:pPr>
      <w:r>
        <w:rPr>
          <w:rFonts w:ascii="CG Times" w:hAnsi="CG Times"/>
          <w:color w:val="000000"/>
          <w:sz w:val="26"/>
          <w:szCs w:val="26"/>
        </w:rPr>
        <w:t>- Que la adquisición y domiciliación asturiana se mantenga durante los 5 años siguientes al fallecimiento del causante.</w:t>
      </w:r>
    </w:p>
    <w:p w14:paraId="56F77FFD"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Si hay reducción por patrimonio empresarial causante asturiano en favor de colaboradores</w:t>
      </w:r>
      <w:r>
        <w:rPr>
          <w:rFonts w:ascii="CG Times" w:hAnsi="CG Times"/>
          <w:i/>
          <w:color w:val="000000"/>
          <w:sz w:val="26"/>
          <w:szCs w:val="26"/>
          <w:lang w:val="es-ES"/>
        </w:rPr>
        <w:t xml:space="preserve">  </w:t>
      </w:r>
      <w:r>
        <w:rPr>
          <w:rFonts w:ascii="CG Times" w:hAnsi="CG Times"/>
          <w:color w:val="000000"/>
          <w:sz w:val="26"/>
          <w:szCs w:val="26"/>
          <w:lang w:val="es-ES"/>
        </w:rPr>
        <w:t>8º.- Que es de aplicación al bien descrito en el</w:t>
      </w:r>
      <w:r>
        <w:rPr>
          <w:rFonts w:ascii="CG Times" w:hAnsi="CG Times"/>
          <w:sz w:val="26"/>
          <w:szCs w:val="26"/>
          <w:lang w:val="es-ES"/>
        </w:rPr>
        <w:t xml:space="preserve"> apartado ***  la reducción asturiana del 95% prevista, con efectos desde el 1 de junio de 2017, en el </w:t>
      </w:r>
      <w:hyperlink r:id="rId277" w:anchor="a17" w:history="1">
        <w:r>
          <w:rPr>
            <w:rStyle w:val="Hipervnculo"/>
            <w:spacing w:val="6"/>
            <w:sz w:val="26"/>
            <w:szCs w:val="26"/>
          </w:rPr>
          <w:t>artículo 18-ter del Decreto-legislativo asturiano 2/2014</w:t>
        </w:r>
      </w:hyperlink>
      <w:r>
        <w:rPr>
          <w:rFonts w:ascii="CG Times" w:hAnsi="CG Times"/>
          <w:sz w:val="26"/>
          <w:szCs w:val="26"/>
          <w:lang w:val="es-ES"/>
        </w:rPr>
        <w:t>, para la adquisición “mortis causa” de la empresa individual, negocio profesional y participación en entidades del causante cuando concurran los siguientes requisitos:</w:t>
      </w:r>
    </w:p>
    <w:p w14:paraId="6FF6016C" w14:textId="77777777" w:rsidR="00EE1145" w:rsidRDefault="00EE1145">
      <w:pPr>
        <w:spacing w:line="280" w:lineRule="atLeast"/>
        <w:ind w:left="432"/>
        <w:jc w:val="both"/>
        <w:rPr>
          <w:color w:val="000000"/>
          <w:spacing w:val="6"/>
          <w:sz w:val="26"/>
          <w:szCs w:val="26"/>
        </w:rPr>
      </w:pPr>
      <w:r>
        <w:rPr>
          <w:color w:val="000000"/>
          <w:spacing w:val="6"/>
          <w:sz w:val="26"/>
          <w:szCs w:val="26"/>
        </w:rPr>
        <w:t xml:space="preserve">- Que el causahabiente tenga una vinculación laboral o de prestación de servicios con una antigüedad de 10 años; o que tenga encomendadas tareas de responsabilidad en la gestión o dirección con una antigüedad de 5 años, </w:t>
      </w:r>
    </w:p>
    <w:p w14:paraId="4BA17762" w14:textId="77777777" w:rsidR="00EE1145" w:rsidRDefault="00EE1145">
      <w:pPr>
        <w:spacing w:line="280" w:lineRule="atLeast"/>
        <w:ind w:left="432"/>
        <w:jc w:val="both"/>
        <w:rPr>
          <w:color w:val="000000"/>
          <w:spacing w:val="6"/>
          <w:sz w:val="26"/>
          <w:szCs w:val="26"/>
        </w:rPr>
      </w:pPr>
      <w:r>
        <w:rPr>
          <w:color w:val="000000"/>
          <w:spacing w:val="6"/>
          <w:sz w:val="26"/>
          <w:szCs w:val="26"/>
        </w:rPr>
        <w:t>- Que el domicilio fiscal esté en Asturias</w:t>
      </w:r>
      <w:r>
        <w:rPr>
          <w:rFonts w:ascii="CG Times" w:hAnsi="CG Times"/>
          <w:color w:val="000000"/>
          <w:sz w:val="26"/>
          <w:szCs w:val="26"/>
        </w:rPr>
        <w:t>.</w:t>
      </w:r>
    </w:p>
    <w:p w14:paraId="0C6DBADA" w14:textId="77777777" w:rsidR="00EE1145" w:rsidRDefault="00EE1145">
      <w:pPr>
        <w:spacing w:line="280" w:lineRule="atLeast"/>
        <w:ind w:left="432"/>
        <w:jc w:val="both"/>
        <w:rPr>
          <w:color w:val="000000"/>
          <w:spacing w:val="6"/>
          <w:sz w:val="26"/>
          <w:szCs w:val="26"/>
        </w:rPr>
      </w:pPr>
      <w:r>
        <w:rPr>
          <w:color w:val="000000"/>
          <w:spacing w:val="6"/>
          <w:sz w:val="26"/>
          <w:szCs w:val="26"/>
        </w:rPr>
        <w:t xml:space="preserve">- Que al patrimonio empresarial adquirido le sea de aplicación la exención del </w:t>
      </w:r>
      <w:hyperlink r:id="rId278" w:anchor="a4" w:history="1">
        <w:r>
          <w:rPr>
            <w:rStyle w:val="Hipervnculo"/>
            <w:spacing w:val="6"/>
            <w:sz w:val="26"/>
            <w:szCs w:val="26"/>
          </w:rPr>
          <w:t>artículo 4-8 de la Ley 18/1991, del Impuesto sobre el Patrimonio</w:t>
        </w:r>
      </w:hyperlink>
      <w:r>
        <w:rPr>
          <w:color w:val="000000"/>
          <w:spacing w:val="6"/>
          <w:sz w:val="26"/>
          <w:szCs w:val="26"/>
        </w:rPr>
        <w:t>.</w:t>
      </w:r>
    </w:p>
    <w:p w14:paraId="68A60546" w14:textId="77777777" w:rsidR="00EE1145" w:rsidRDefault="00EE1145">
      <w:pPr>
        <w:spacing w:line="280" w:lineRule="atLeast"/>
        <w:ind w:left="432"/>
        <w:jc w:val="both"/>
        <w:rPr>
          <w:rFonts w:ascii="CG Times" w:hAnsi="CG Times"/>
          <w:color w:val="000000"/>
          <w:sz w:val="26"/>
          <w:szCs w:val="26"/>
        </w:rPr>
      </w:pPr>
      <w:r>
        <w:rPr>
          <w:rFonts w:ascii="CG Times" w:hAnsi="CG Times"/>
          <w:color w:val="000000"/>
          <w:sz w:val="26"/>
          <w:szCs w:val="26"/>
        </w:rPr>
        <w:t>- Que la adquisición, domiciliación asturiana y plantilla media se mantenga durante los 5 años siguientes al fallecimiento del causante.</w:t>
      </w:r>
    </w:p>
    <w:p w14:paraId="44254497"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Si hay reducción por bienes destinados a una empresa</w:t>
      </w:r>
      <w:r>
        <w:rPr>
          <w:rFonts w:ascii="CG Times" w:hAnsi="CG Times"/>
          <w:i/>
          <w:color w:val="000000"/>
          <w:sz w:val="26"/>
          <w:szCs w:val="26"/>
          <w:lang w:val="es-ES"/>
        </w:rPr>
        <w:t xml:space="preserve">  </w:t>
      </w:r>
      <w:r>
        <w:rPr>
          <w:rFonts w:ascii="CG Times" w:hAnsi="CG Times"/>
          <w:color w:val="000000"/>
          <w:sz w:val="26"/>
          <w:szCs w:val="26"/>
          <w:lang w:val="es-ES"/>
        </w:rPr>
        <w:t>9º.- Que es de aplicación al bien descrito en el</w:t>
      </w:r>
      <w:r>
        <w:rPr>
          <w:rFonts w:ascii="CG Times" w:hAnsi="CG Times"/>
          <w:sz w:val="26"/>
          <w:szCs w:val="26"/>
          <w:lang w:val="es-ES"/>
        </w:rPr>
        <w:t xml:space="preserve"> apartado ***  la reducción asturiana del 95% (con el límite único de 120.000, 180.000 para minusvalías de al menos el 33%) prevista, con efectos desde el 1 de junio de 2017, en el </w:t>
      </w:r>
      <w:hyperlink r:id="rId279" w:anchor="a17" w:history="1">
        <w:r>
          <w:rPr>
            <w:rStyle w:val="Hipervnculo"/>
            <w:spacing w:val="6"/>
            <w:sz w:val="26"/>
            <w:szCs w:val="26"/>
          </w:rPr>
          <w:t>artículo 18-quáter del Decreto-legislativo asturiano 2/2014</w:t>
        </w:r>
      </w:hyperlink>
      <w:r>
        <w:rPr>
          <w:rFonts w:ascii="CG Times" w:hAnsi="CG Times"/>
          <w:sz w:val="26"/>
          <w:szCs w:val="26"/>
          <w:lang w:val="es-ES"/>
        </w:rPr>
        <w:t>, para la adquisición “mortis causa” de bienes que vayan a ser destinados a la constitución, ampliación o adquisición en su totalidad de una empresa o de un negocio profesional, o bien a la participación en su constitución (siempre que el número de socios o partícipes no sea superior a 5). cuando concurran los siguientes requisitos:</w:t>
      </w:r>
    </w:p>
    <w:p w14:paraId="64C53FDA" w14:textId="77777777" w:rsidR="00EE1145" w:rsidRDefault="00EE1145">
      <w:pPr>
        <w:spacing w:line="280" w:lineRule="atLeast"/>
        <w:ind w:left="432"/>
        <w:jc w:val="both"/>
        <w:rPr>
          <w:rFonts w:ascii="CG Times" w:hAnsi="CG Times"/>
          <w:color w:val="000000"/>
          <w:sz w:val="26"/>
          <w:szCs w:val="26"/>
        </w:rPr>
      </w:pPr>
      <w:r>
        <w:rPr>
          <w:color w:val="000000"/>
          <w:spacing w:val="6"/>
          <w:sz w:val="26"/>
          <w:szCs w:val="26"/>
        </w:rPr>
        <w:t>- Que el domicilio fiscal esté en Asturias</w:t>
      </w:r>
      <w:r>
        <w:rPr>
          <w:rFonts w:ascii="CG Times" w:hAnsi="CG Times"/>
          <w:color w:val="000000"/>
          <w:sz w:val="26"/>
          <w:szCs w:val="26"/>
        </w:rPr>
        <w:t>.</w:t>
      </w:r>
    </w:p>
    <w:p w14:paraId="7E2F76B8" w14:textId="77777777" w:rsidR="00EE1145" w:rsidRDefault="00EE1145">
      <w:pPr>
        <w:spacing w:line="280" w:lineRule="atLeast"/>
        <w:ind w:left="432"/>
        <w:jc w:val="both"/>
        <w:rPr>
          <w:rFonts w:ascii="CG Times" w:hAnsi="CG Times"/>
          <w:color w:val="000000"/>
          <w:sz w:val="26"/>
          <w:szCs w:val="26"/>
        </w:rPr>
      </w:pPr>
      <w:r>
        <w:rPr>
          <w:rFonts w:ascii="CG Times" w:hAnsi="CG Times"/>
          <w:color w:val="000000"/>
          <w:sz w:val="26"/>
          <w:szCs w:val="26"/>
        </w:rPr>
        <w:t>- Que la aceptación de la transmisión hereditaria se formalice en escritura pública dentro del plazo de autoliquidación del impuesto, en la que se exprese la voluntad de que, si es dinero, se destinará a la constitución, ampliación o adquisición de una empresa o de un negocio profesional, y, si es un bien de otra naturaleza, se afectará a esa actividad.</w:t>
      </w:r>
    </w:p>
    <w:p w14:paraId="7DEA5997" w14:textId="77777777" w:rsidR="00EE1145" w:rsidRDefault="00EE1145">
      <w:pPr>
        <w:spacing w:line="280" w:lineRule="atLeast"/>
        <w:ind w:left="432"/>
        <w:jc w:val="both"/>
        <w:rPr>
          <w:rFonts w:ascii="CG Times" w:hAnsi="CG Times"/>
          <w:color w:val="000000"/>
          <w:sz w:val="26"/>
          <w:szCs w:val="26"/>
        </w:rPr>
      </w:pPr>
      <w:r>
        <w:rPr>
          <w:rFonts w:ascii="CG Times" w:hAnsi="CG Times"/>
          <w:color w:val="000000"/>
          <w:sz w:val="26"/>
          <w:szCs w:val="26"/>
        </w:rPr>
        <w:t>- Que la constitución, ampliación o adquisición de la empresa o negocio profesional se lleven a cabo en el plazo de 6 meses a contar desde la fecha de formalización de la aceptación de la herencia o legado. En el caso de que existan varias escrituras de aceptación, el plazo se computará desde la fecha de la primera.</w:t>
      </w:r>
    </w:p>
    <w:p w14:paraId="227BF3AA" w14:textId="77777777" w:rsidR="00EE1145" w:rsidRDefault="00EE1145">
      <w:pPr>
        <w:spacing w:line="280" w:lineRule="atLeast"/>
        <w:ind w:left="432"/>
        <w:jc w:val="both"/>
        <w:rPr>
          <w:color w:val="000000"/>
          <w:spacing w:val="6"/>
          <w:sz w:val="26"/>
          <w:szCs w:val="26"/>
        </w:rPr>
      </w:pPr>
      <w:r>
        <w:rPr>
          <w:color w:val="000000"/>
          <w:spacing w:val="6"/>
          <w:sz w:val="26"/>
          <w:szCs w:val="26"/>
        </w:rPr>
        <w:lastRenderedPageBreak/>
        <w:t>- Que se contrate, en régimen laboral, a jornada completa y por 1 año como mínimo, al menos a 1 trabajador distinto del contribuyente al que se aplique la reducción</w:t>
      </w:r>
      <w:r>
        <w:rPr>
          <w:rStyle w:val="Refdenotaalfinal"/>
          <w:b/>
          <w:color w:val="000000"/>
          <w:spacing w:val="6"/>
          <w:sz w:val="28"/>
          <w:szCs w:val="28"/>
        </w:rPr>
        <w:endnoteReference w:id="32"/>
      </w:r>
      <w:r>
        <w:rPr>
          <w:color w:val="000000"/>
          <w:spacing w:val="6"/>
          <w:sz w:val="26"/>
          <w:szCs w:val="26"/>
        </w:rPr>
        <w:t>.</w:t>
      </w:r>
    </w:p>
    <w:p w14:paraId="083F7357" w14:textId="77777777" w:rsidR="00EE1145" w:rsidRDefault="00EE1145">
      <w:pPr>
        <w:spacing w:line="280" w:lineRule="atLeast"/>
        <w:ind w:left="432"/>
        <w:jc w:val="both"/>
        <w:rPr>
          <w:rFonts w:ascii="CG Times" w:hAnsi="CG Times"/>
          <w:color w:val="000000"/>
          <w:sz w:val="26"/>
          <w:szCs w:val="26"/>
        </w:rPr>
      </w:pPr>
      <w:r>
        <w:rPr>
          <w:rFonts w:ascii="CG Times" w:hAnsi="CG Times"/>
          <w:color w:val="000000"/>
          <w:sz w:val="26"/>
          <w:szCs w:val="26"/>
        </w:rPr>
        <w:t>- Que la domiciliación asturiana y plantilla media en Asturias se mantenga durante los 5 años siguientes al fallecimiento del causante.</w:t>
      </w:r>
    </w:p>
    <w:p w14:paraId="05387506" w14:textId="77777777" w:rsidR="00EE1145" w:rsidRDefault="00EE1145">
      <w:pPr>
        <w:spacing w:line="280" w:lineRule="atLeast"/>
        <w:ind w:left="432"/>
        <w:jc w:val="both"/>
        <w:rPr>
          <w:rFonts w:ascii="CG Times" w:hAnsi="CG Times"/>
          <w:color w:val="000000"/>
          <w:sz w:val="26"/>
          <w:szCs w:val="26"/>
        </w:rPr>
      </w:pPr>
      <w:r>
        <w:rPr>
          <w:rFonts w:ascii="CG Times" w:hAnsi="CG Times"/>
          <w:color w:val="000000"/>
          <w:sz w:val="26"/>
          <w:szCs w:val="26"/>
        </w:rPr>
        <w:t xml:space="preserve">- </w:t>
      </w:r>
      <w:r>
        <w:rPr>
          <w:rFonts w:ascii="CG Times" w:hAnsi="CG Times" w:cs="Lucida Sans Unicode"/>
          <w:color w:val="222222"/>
          <w:sz w:val="26"/>
          <w:szCs w:val="26"/>
        </w:rPr>
        <w:t>Que el adquirente esté o cause alta en el censo de empresarios, profesionales y retenedores previsto en la normativa estatal y que su patrimonio no sea superior a 402.678,11 euros, a la fecha de aceptación de la herencia o legado.</w:t>
      </w:r>
    </w:p>
    <w:p w14:paraId="61EE254B" w14:textId="77777777" w:rsidR="00EE1145" w:rsidRDefault="00EE1145">
      <w:pPr>
        <w:spacing w:line="280" w:lineRule="atLeast"/>
        <w:ind w:left="432"/>
        <w:jc w:val="both"/>
        <w:rPr>
          <w:rFonts w:ascii="CG Times" w:hAnsi="CG Times"/>
          <w:sz w:val="26"/>
          <w:szCs w:val="26"/>
          <w:lang w:val="es-ES"/>
        </w:rPr>
      </w:pPr>
      <w:r>
        <w:rPr>
          <w:rFonts w:ascii="CG Times" w:hAnsi="CG Times"/>
          <w:i/>
          <w:color w:val="FF0000"/>
          <w:sz w:val="26"/>
          <w:szCs w:val="26"/>
          <w:lang w:val="es-ES"/>
        </w:rPr>
        <w:t>Si quieren pagar con el dinero de las cuentas</w:t>
      </w:r>
      <w:r>
        <w:rPr>
          <w:rFonts w:ascii="CG Times" w:hAnsi="CG Times"/>
          <w:i/>
          <w:sz w:val="26"/>
          <w:szCs w:val="26"/>
          <w:lang w:val="es-ES"/>
        </w:rPr>
        <w:t xml:space="preserve"> </w:t>
      </w:r>
      <w:r>
        <w:rPr>
          <w:rFonts w:ascii="CG Times" w:hAnsi="CG Times"/>
          <w:sz w:val="26"/>
          <w:szCs w:val="26"/>
          <w:lang w:val="es-ES"/>
        </w:rPr>
        <w:t xml:space="preserve">10º.- Conforme al </w:t>
      </w:r>
      <w:hyperlink r:id="rId280" w:anchor="a80" w:history="1">
        <w:r>
          <w:rPr>
            <w:rStyle w:val="Hipervnculo"/>
            <w:rFonts w:ascii="CG Times" w:hAnsi="CG Times"/>
            <w:sz w:val="26"/>
            <w:szCs w:val="26"/>
            <w:lang w:val="es-ES"/>
          </w:rPr>
          <w:t>artículo 80-3 del Decreto 1629/1991 aprobatorio del Reglamento del Impuesto sobre Sucesiones y Donaciones</w:t>
        </w:r>
      </w:hyperlink>
      <w:r>
        <w:rPr>
          <w:rFonts w:ascii="CG Times" w:hAnsi="CG Times"/>
          <w:sz w:val="26"/>
          <w:szCs w:val="26"/>
          <w:lang w:val="es-ES"/>
        </w:rPr>
        <w:t xml:space="preserve">, se solicita de la oficina gestora competente para la liquidación, que autorice a las entidades financieras para enajenar valores depositados en las mismas a nombre del causante y, con cargo a su importe, o al saldo a favor de aquél en cuentas de cualquier tipo, librar los correspondientes talones a nombre del Tesoro Público por el exacto importe de las citadas liquidaciones. Asimismo, conforme a la práctica imperante para las autoliquidaciones, se solicita de las entidades financieras que procedan a la transferencia directa a </w:t>
      </w:r>
      <w:smartTag w:uri="urn:schemas-microsoft-com:office:smarttags" w:element="PersonName">
        <w:smartTagPr>
          <w:attr w:name="ProductID" w:val="la Hacienda"/>
        </w:smartTagPr>
        <w:r>
          <w:rPr>
            <w:rFonts w:ascii="CG Times" w:hAnsi="CG Times"/>
            <w:sz w:val="26"/>
            <w:szCs w:val="26"/>
            <w:lang w:val="es-ES"/>
          </w:rPr>
          <w:t>la Hacienda</w:t>
        </w:r>
      </w:smartTag>
      <w:r>
        <w:rPr>
          <w:rFonts w:ascii="CG Times" w:hAnsi="CG Times"/>
          <w:sz w:val="26"/>
          <w:szCs w:val="26"/>
          <w:lang w:val="es-ES"/>
        </w:rPr>
        <w:t xml:space="preserve"> competente de la cuota resultante.</w:t>
      </w:r>
    </w:p>
    <w:p w14:paraId="08199E58" w14:textId="77777777" w:rsidR="00EE1145" w:rsidRDefault="00EE1145" w:rsidP="009657C4">
      <w:pPr>
        <w:spacing w:after="60" w:line="280" w:lineRule="atLeast"/>
        <w:ind w:left="431"/>
        <w:jc w:val="both"/>
        <w:rPr>
          <w:rFonts w:ascii="CG Times" w:hAnsi="CG Times"/>
          <w:sz w:val="26"/>
          <w:szCs w:val="26"/>
          <w:lang w:val="es-ES"/>
        </w:rPr>
      </w:pPr>
      <w:r>
        <w:rPr>
          <w:rFonts w:ascii="CG Times" w:hAnsi="CG Times"/>
          <w:i/>
          <w:color w:val="FF0000"/>
          <w:sz w:val="26"/>
          <w:szCs w:val="26"/>
          <w:lang w:val="es-ES"/>
        </w:rPr>
        <w:t>Siempre que se sepa que la adjudicación es total (incluidas cuentas bancarias) y no se haya liquidado antes</w:t>
      </w:r>
      <w:r>
        <w:rPr>
          <w:rFonts w:ascii="CG Times" w:hAnsi="CG Times"/>
          <w:sz w:val="26"/>
          <w:szCs w:val="26"/>
          <w:lang w:val="es-ES"/>
        </w:rPr>
        <w:t xml:space="preserve"> 11º.- Que no consta la existencia de otros conceptos que deban adicionarse a la base imponible o alteren la misma, tales como pactos sucesorios o indemnizaciones por seguros de vida.".</w:t>
      </w:r>
    </w:p>
    <w:p w14:paraId="59DC3F41" w14:textId="77777777" w:rsidR="00EE1145" w:rsidRDefault="00EE1145" w:rsidP="00C854F8">
      <w:pPr>
        <w:numPr>
          <w:ilvl w:val="1"/>
          <w:numId w:val="15"/>
        </w:numPr>
        <w:tabs>
          <w:tab w:val="clear" w:pos="792"/>
          <w:tab w:val="num" w:pos="432"/>
        </w:tabs>
        <w:spacing w:line="280" w:lineRule="atLeast"/>
        <w:ind w:left="432"/>
        <w:jc w:val="both"/>
        <w:rPr>
          <w:b/>
          <w:spacing w:val="6"/>
          <w:sz w:val="22"/>
          <w:szCs w:val="22"/>
        </w:rPr>
      </w:pPr>
      <w:bookmarkStart w:id="171" w:name="parentesco"/>
      <w:bookmarkEnd w:id="171"/>
      <w:r>
        <w:rPr>
          <w:b/>
          <w:spacing w:val="6"/>
          <w:sz w:val="26"/>
          <w:szCs w:val="26"/>
        </w:rPr>
        <w:t>Reducción en la base imponible para Grupos I y II</w:t>
      </w:r>
      <w:r>
        <w:rPr>
          <w:rStyle w:val="Refdenotaalfinal"/>
          <w:b/>
          <w:spacing w:val="6"/>
          <w:sz w:val="28"/>
          <w:szCs w:val="28"/>
        </w:rPr>
        <w:endnoteReference w:id="33"/>
      </w:r>
    </w:p>
    <w:p w14:paraId="71737DAC"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72" w:name="l411"/>
      <w:bookmarkStart w:id="173" w:name="red411"/>
      <w:bookmarkEnd w:id="172"/>
      <w:bookmarkEnd w:id="173"/>
      <w:r>
        <w:rPr>
          <w:b/>
          <w:spacing w:val="6"/>
          <w:sz w:val="26"/>
          <w:szCs w:val="26"/>
        </w:rPr>
        <w:t>Reducción en la base imponible por razón de parentesco con el causante: desde el 01/01/2017 hasta el 31/05/2017 es de 200.000 €</w:t>
      </w:r>
    </w:p>
    <w:p w14:paraId="76A92040" w14:textId="77777777" w:rsidR="00EE1145" w:rsidRDefault="00EE1145">
      <w:pPr>
        <w:spacing w:line="280" w:lineRule="atLeast"/>
        <w:ind w:left="864"/>
        <w:jc w:val="both"/>
        <w:rPr>
          <w:color w:val="000000"/>
          <w:spacing w:val="6"/>
          <w:sz w:val="26"/>
          <w:szCs w:val="26"/>
        </w:rPr>
      </w:pPr>
      <w:r>
        <w:rPr>
          <w:color w:val="000000"/>
          <w:spacing w:val="6"/>
          <w:sz w:val="26"/>
          <w:szCs w:val="26"/>
        </w:rPr>
        <w:t>P</w:t>
      </w:r>
      <w:r>
        <w:rPr>
          <w:rFonts w:ascii="Times New Roman" w:hAnsi="Times New Roman"/>
          <w:sz w:val="26"/>
          <w:szCs w:val="26"/>
          <w:lang w:val="es-ES"/>
        </w:rPr>
        <w:t>ara Sucesiones causadas entre el 1 de enero de 2017 y el 31 de mayo de 2017,</w:t>
      </w:r>
      <w:r>
        <w:rPr>
          <w:color w:val="000000"/>
          <w:spacing w:val="6"/>
          <w:sz w:val="26"/>
          <w:szCs w:val="26"/>
        </w:rPr>
        <w:t xml:space="preserve"> a los </w:t>
      </w:r>
      <w:hyperlink r:id="rId281" w:anchor="a20" w:history="1">
        <w:r>
          <w:rPr>
            <w:rStyle w:val="Hipervnculo"/>
            <w:rFonts w:ascii="Times New Roman" w:hAnsi="Times New Roman"/>
            <w:sz w:val="26"/>
            <w:szCs w:val="26"/>
            <w:lang w:val="es-ES"/>
          </w:rPr>
          <w:t>Grupos I y II</w:t>
        </w:r>
      </w:hyperlink>
      <w:r>
        <w:rPr>
          <w:rFonts w:ascii="Times New Roman" w:hAnsi="Times New Roman"/>
          <w:sz w:val="26"/>
          <w:szCs w:val="26"/>
          <w:lang w:val="es-ES"/>
        </w:rPr>
        <w:t xml:space="preserve"> (</w:t>
      </w:r>
      <w:r>
        <w:rPr>
          <w:spacing w:val="6"/>
          <w:sz w:val="26"/>
          <w:szCs w:val="26"/>
        </w:rPr>
        <w:t>cónyuge, ascendientes y descendientes)</w:t>
      </w:r>
      <w:r>
        <w:rPr>
          <w:b/>
          <w:spacing w:val="6"/>
          <w:sz w:val="26"/>
          <w:szCs w:val="26"/>
        </w:rPr>
        <w:t xml:space="preserve"> </w:t>
      </w:r>
      <w:r>
        <w:rPr>
          <w:color w:val="000000"/>
          <w:spacing w:val="6"/>
          <w:sz w:val="26"/>
          <w:szCs w:val="26"/>
        </w:rPr>
        <w:t xml:space="preserve">se aplica la reducción en la base imponible de 200.000 € del </w:t>
      </w:r>
      <w:hyperlink r:id="rId282" w:anchor="a17b" w:history="1">
        <w:r>
          <w:rPr>
            <w:rStyle w:val="Hipervnculo"/>
            <w:spacing w:val="6"/>
            <w:sz w:val="26"/>
            <w:szCs w:val="26"/>
          </w:rPr>
          <w:t>art. 17-bis del Decreto-legislativo asturiano 2/2014</w:t>
        </w:r>
      </w:hyperlink>
      <w:r>
        <w:rPr>
          <w:color w:val="000000"/>
          <w:spacing w:val="6"/>
          <w:sz w:val="26"/>
          <w:szCs w:val="26"/>
        </w:rPr>
        <w:t xml:space="preserve"> </w:t>
      </w:r>
      <w:r>
        <w:rPr>
          <w:spacing w:val="6"/>
          <w:sz w:val="26"/>
          <w:szCs w:val="26"/>
        </w:rPr>
        <w:t xml:space="preserve">(que mejora y sustituye a la estatal en la reforma por la </w:t>
      </w:r>
      <w:hyperlink r:id="rId283" w:history="1">
        <w:r>
          <w:rPr>
            <w:rStyle w:val="Hipervnculo"/>
            <w:rFonts w:ascii="Times New Roman" w:hAnsi="Times New Roman"/>
            <w:sz w:val="26"/>
            <w:szCs w:val="26"/>
          </w:rPr>
          <w:t>Ley 6/2016</w:t>
        </w:r>
      </w:hyperlink>
      <w:r>
        <w:rPr>
          <w:color w:val="000000"/>
          <w:spacing w:val="6"/>
          <w:sz w:val="26"/>
          <w:szCs w:val="26"/>
        </w:rPr>
        <w:t>).</w:t>
      </w:r>
    </w:p>
    <w:p w14:paraId="51471F53"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74" w:name="red412"/>
      <w:bookmarkEnd w:id="174"/>
      <w:r>
        <w:rPr>
          <w:b/>
          <w:spacing w:val="6"/>
          <w:sz w:val="26"/>
          <w:szCs w:val="26"/>
        </w:rPr>
        <w:t>Reducción en la base imponible por razón de parentesco con el causante: desde el 1/06/2017 es de 300.000 €</w:t>
      </w:r>
    </w:p>
    <w:p w14:paraId="30899888" w14:textId="77777777" w:rsidR="00EE1145" w:rsidRDefault="00EE1145">
      <w:pPr>
        <w:spacing w:line="280" w:lineRule="atLeast"/>
        <w:ind w:left="864"/>
        <w:jc w:val="both"/>
        <w:rPr>
          <w:color w:val="000000"/>
          <w:spacing w:val="6"/>
          <w:sz w:val="26"/>
          <w:szCs w:val="26"/>
        </w:rPr>
      </w:pPr>
      <w:r>
        <w:rPr>
          <w:color w:val="000000"/>
          <w:spacing w:val="6"/>
          <w:sz w:val="26"/>
          <w:szCs w:val="26"/>
        </w:rPr>
        <w:t>P</w:t>
      </w:r>
      <w:r>
        <w:rPr>
          <w:rFonts w:ascii="Times New Roman" w:hAnsi="Times New Roman"/>
          <w:sz w:val="26"/>
          <w:szCs w:val="26"/>
          <w:lang w:val="es-ES"/>
        </w:rPr>
        <w:t>ara Sucesiones causadas a partir de 1 de junio de 2017,</w:t>
      </w:r>
      <w:r>
        <w:rPr>
          <w:color w:val="000000"/>
          <w:spacing w:val="6"/>
          <w:sz w:val="26"/>
          <w:szCs w:val="26"/>
        </w:rPr>
        <w:t xml:space="preserve"> a los </w:t>
      </w:r>
      <w:hyperlink r:id="rId284" w:anchor="a20" w:history="1">
        <w:r>
          <w:rPr>
            <w:rStyle w:val="Hipervnculo"/>
            <w:rFonts w:ascii="Times New Roman" w:hAnsi="Times New Roman"/>
            <w:sz w:val="26"/>
            <w:szCs w:val="26"/>
            <w:lang w:val="es-ES"/>
          </w:rPr>
          <w:t>Grupos I y II</w:t>
        </w:r>
      </w:hyperlink>
      <w:r>
        <w:rPr>
          <w:rFonts w:ascii="Times New Roman" w:hAnsi="Times New Roman"/>
          <w:sz w:val="26"/>
          <w:szCs w:val="26"/>
          <w:lang w:val="es-ES"/>
        </w:rPr>
        <w:t xml:space="preserve"> (</w:t>
      </w:r>
      <w:r>
        <w:rPr>
          <w:spacing w:val="6"/>
          <w:sz w:val="26"/>
          <w:szCs w:val="26"/>
        </w:rPr>
        <w:t>cónyuge, ascendientes y descendientes)</w:t>
      </w:r>
      <w:r>
        <w:rPr>
          <w:b/>
          <w:spacing w:val="6"/>
          <w:sz w:val="26"/>
          <w:szCs w:val="26"/>
        </w:rPr>
        <w:t xml:space="preserve"> </w:t>
      </w:r>
      <w:r>
        <w:rPr>
          <w:color w:val="000000"/>
          <w:spacing w:val="6"/>
          <w:sz w:val="26"/>
          <w:szCs w:val="26"/>
        </w:rPr>
        <w:t xml:space="preserve">se aplica la reducción en la base imponible de 300.000 € del </w:t>
      </w:r>
      <w:hyperlink r:id="rId285" w:anchor="a17" w:history="1">
        <w:r>
          <w:rPr>
            <w:rStyle w:val="Hipervnculo"/>
            <w:spacing w:val="6"/>
            <w:sz w:val="26"/>
            <w:szCs w:val="26"/>
          </w:rPr>
          <w:t>art. 17 del Decreto-legislativo asturiano 2/2014</w:t>
        </w:r>
      </w:hyperlink>
      <w:r>
        <w:rPr>
          <w:color w:val="000000"/>
          <w:spacing w:val="6"/>
          <w:sz w:val="26"/>
          <w:szCs w:val="26"/>
        </w:rPr>
        <w:t xml:space="preserve"> </w:t>
      </w:r>
      <w:r>
        <w:rPr>
          <w:spacing w:val="6"/>
          <w:sz w:val="26"/>
          <w:szCs w:val="26"/>
        </w:rPr>
        <w:t xml:space="preserve">(que mejora y sustituye a la estatal en la reforma por la </w:t>
      </w:r>
      <w:hyperlink r:id="rId286" w:history="1">
        <w:r>
          <w:rPr>
            <w:rStyle w:val="Hipervnculo"/>
            <w:rFonts w:ascii="Times New Roman" w:hAnsi="Times New Roman"/>
            <w:sz w:val="26"/>
            <w:szCs w:val="26"/>
          </w:rPr>
          <w:t>Ley 7/2017</w:t>
        </w:r>
      </w:hyperlink>
      <w:r>
        <w:rPr>
          <w:color w:val="000000"/>
          <w:spacing w:val="6"/>
          <w:sz w:val="26"/>
          <w:szCs w:val="26"/>
        </w:rPr>
        <w:t>).</w:t>
      </w:r>
    </w:p>
    <w:p w14:paraId="29AD6A08"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75" w:name="t412"/>
      <w:bookmarkStart w:id="176" w:name="tra413"/>
      <w:bookmarkEnd w:id="175"/>
      <w:bookmarkEnd w:id="176"/>
      <w:r>
        <w:rPr>
          <w:b/>
          <w:spacing w:val="6"/>
          <w:sz w:val="26"/>
          <w:szCs w:val="26"/>
        </w:rPr>
        <w:t>Tratamiento notarial</w:t>
      </w:r>
    </w:p>
    <w:p w14:paraId="7CC97976" w14:textId="77777777" w:rsidR="00EE1145" w:rsidRDefault="00EE1145" w:rsidP="009657C4">
      <w:pPr>
        <w:spacing w:after="60"/>
        <w:ind w:left="862"/>
        <w:jc w:val="both"/>
        <w:rPr>
          <w:rFonts w:ascii="CG Times" w:hAnsi="CG Times"/>
          <w:sz w:val="26"/>
          <w:szCs w:val="26"/>
        </w:rPr>
      </w:pPr>
      <w:r>
        <w:rPr>
          <w:rFonts w:ascii="CG Times" w:hAnsi="CG Times"/>
          <w:sz w:val="26"/>
          <w:szCs w:val="26"/>
        </w:rPr>
        <w:t>Incluir la anterior cláusula en la Exposición (eligiendo las opciones correspondientes).</w:t>
      </w:r>
    </w:p>
    <w:p w14:paraId="5845ABC9" w14:textId="77777777" w:rsidR="00EE1145" w:rsidRDefault="00EE1145" w:rsidP="00C854F8">
      <w:pPr>
        <w:numPr>
          <w:ilvl w:val="1"/>
          <w:numId w:val="15"/>
        </w:numPr>
        <w:tabs>
          <w:tab w:val="clear" w:pos="792"/>
          <w:tab w:val="num" w:pos="432"/>
        </w:tabs>
        <w:spacing w:line="280" w:lineRule="atLeast"/>
        <w:ind w:left="432"/>
        <w:jc w:val="both"/>
        <w:rPr>
          <w:b/>
          <w:color w:val="000000"/>
          <w:spacing w:val="6"/>
          <w:sz w:val="22"/>
          <w:szCs w:val="22"/>
        </w:rPr>
      </w:pPr>
      <w:bookmarkStart w:id="177" w:name="D2"/>
      <w:bookmarkStart w:id="178" w:name="D3"/>
      <w:bookmarkEnd w:id="177"/>
      <w:bookmarkEnd w:id="178"/>
      <w:r>
        <w:rPr>
          <w:b/>
          <w:color w:val="000000"/>
          <w:spacing w:val="6"/>
          <w:sz w:val="26"/>
          <w:szCs w:val="26"/>
        </w:rPr>
        <w:t>Reducción en la base imponible 95-99% por la vivienda habitual del causante</w:t>
      </w:r>
    </w:p>
    <w:p w14:paraId="03DC2B0B"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79" w:name="l431"/>
      <w:bookmarkEnd w:id="179"/>
      <w:r>
        <w:rPr>
          <w:b/>
          <w:spacing w:val="6"/>
          <w:sz w:val="26"/>
          <w:szCs w:val="26"/>
        </w:rPr>
        <w:t>Legislación, vigor y reseña de su contenido</w:t>
      </w:r>
    </w:p>
    <w:p w14:paraId="306C037D" w14:textId="77777777" w:rsidR="00EE1145" w:rsidRDefault="00EE1145">
      <w:pPr>
        <w:spacing w:line="280" w:lineRule="atLeast"/>
        <w:ind w:left="1135"/>
        <w:jc w:val="both"/>
        <w:rPr>
          <w:spacing w:val="6"/>
          <w:sz w:val="26"/>
          <w:szCs w:val="26"/>
        </w:rPr>
      </w:pPr>
      <w:hyperlink r:id="rId287" w:anchor="a17" w:history="1">
        <w:r>
          <w:rPr>
            <w:rStyle w:val="Hipervnculo"/>
            <w:spacing w:val="6"/>
            <w:sz w:val="26"/>
            <w:szCs w:val="26"/>
          </w:rPr>
          <w:t>Art. 17-bis del Decreto-legislativo asturiano 2/2014</w:t>
        </w:r>
      </w:hyperlink>
      <w:r>
        <w:rPr>
          <w:spacing w:val="6"/>
          <w:sz w:val="26"/>
          <w:szCs w:val="26"/>
        </w:rPr>
        <w:t>: Mejora con arreglo a la siguiente escala</w:t>
      </w:r>
      <w:r>
        <w:rPr>
          <w:rStyle w:val="Refdenotaalfinal"/>
          <w:b/>
          <w:spacing w:val="6"/>
          <w:sz w:val="28"/>
          <w:szCs w:val="28"/>
        </w:rPr>
        <w:endnoteReference w:id="34"/>
      </w:r>
      <w:r>
        <w:rPr>
          <w:spacing w:val="6"/>
          <w:sz w:val="26"/>
          <w:szCs w:val="26"/>
        </w:rPr>
        <w:t xml:space="preserve"> la reducción estatal</w:t>
      </w:r>
      <w:r>
        <w:rPr>
          <w:rStyle w:val="Refdenotaalfinal"/>
          <w:b/>
          <w:spacing w:val="6"/>
          <w:sz w:val="28"/>
          <w:szCs w:val="28"/>
        </w:rPr>
        <w:endnoteReference w:id="35"/>
      </w:r>
      <w:r>
        <w:rPr>
          <w:spacing w:val="6"/>
          <w:sz w:val="26"/>
          <w:szCs w:val="26"/>
        </w:rPr>
        <w:t xml:space="preserve"> del 95% en la </w:t>
      </w:r>
      <w:r>
        <w:rPr>
          <w:spacing w:val="6"/>
          <w:sz w:val="26"/>
          <w:szCs w:val="26"/>
        </w:rPr>
        <w:lastRenderedPageBreak/>
        <w:t>base imponible del Impuesto sobre Sucesiones por la transmisión de la vivienda habitual del causante</w:t>
      </w:r>
      <w:r w:rsidR="00585CB9" w:rsidRPr="0088266C">
        <w:rPr>
          <w:rStyle w:val="Refdenotaalfinal"/>
          <w:b/>
          <w:spacing w:val="6"/>
          <w:sz w:val="26"/>
          <w:szCs w:val="26"/>
        </w:rPr>
        <w:endnoteReference w:id="36"/>
      </w:r>
      <w:r>
        <w:rPr>
          <w:spacing w:val="6"/>
          <w:sz w:val="26"/>
          <w:szCs w:val="26"/>
        </w:rPr>
        <w:t>, cuando concurran “</w:t>
      </w:r>
      <w:r>
        <w:rPr>
          <w:i/>
          <w:spacing w:val="6"/>
          <w:sz w:val="26"/>
          <w:szCs w:val="26"/>
        </w:rPr>
        <w:t>… los mismos límites y requisitos establecidos en la legislación estatal…</w:t>
      </w:r>
      <w:r>
        <w:rPr>
          <w:spacing w:val="6"/>
          <w:sz w:val="26"/>
          <w:szCs w:val="26"/>
        </w:rPr>
        <w:t xml:space="preserve">”, es decir, </w:t>
      </w:r>
      <w:hyperlink r:id="rId288" w:anchor="a20" w:history="1">
        <w:r>
          <w:rPr>
            <w:rStyle w:val="Hipervnculo"/>
            <w:spacing w:val="6"/>
            <w:sz w:val="26"/>
            <w:szCs w:val="26"/>
          </w:rPr>
          <w:t>art. 20-2-c Ley 29/1987</w:t>
        </w:r>
      </w:hyperlink>
      <w:r>
        <w:rPr>
          <w:spacing w:val="6"/>
          <w:sz w:val="26"/>
          <w:szCs w:val="26"/>
        </w:rPr>
        <w:t>:</w:t>
      </w:r>
    </w:p>
    <w:p w14:paraId="3ACE989E" w14:textId="77777777" w:rsidR="00EE1145" w:rsidRDefault="00EE1145">
      <w:pPr>
        <w:spacing w:line="280" w:lineRule="atLeast"/>
        <w:ind w:left="1135"/>
        <w:jc w:val="both"/>
        <w:rPr>
          <w:spacing w:val="6"/>
          <w:sz w:val="26"/>
          <w:szCs w:val="26"/>
        </w:rPr>
      </w:pPr>
      <w:r>
        <w:rPr>
          <w:spacing w:val="6"/>
          <w:sz w:val="26"/>
          <w:szCs w:val="26"/>
        </w:rPr>
        <w:t>- Que el causahabiente sea cónyuge, descendiente o ascendiente del causante (o colateral</w:t>
      </w:r>
      <w:r>
        <w:rPr>
          <w:rStyle w:val="Refdenotaalfinal"/>
          <w:b/>
          <w:spacing w:val="6"/>
          <w:sz w:val="28"/>
          <w:szCs w:val="28"/>
        </w:rPr>
        <w:endnoteReference w:id="37"/>
      </w:r>
      <w:r>
        <w:rPr>
          <w:spacing w:val="6"/>
          <w:sz w:val="26"/>
          <w:szCs w:val="26"/>
        </w:rPr>
        <w:t xml:space="preserve"> mayor de 65 años que hubiese convivido con el causante durante los 2 años anteriores al fallecimiento).</w:t>
      </w:r>
    </w:p>
    <w:p w14:paraId="22C1C6CF" w14:textId="77777777" w:rsidR="00EE1145" w:rsidRDefault="00EE1145">
      <w:pPr>
        <w:spacing w:line="280" w:lineRule="atLeast"/>
        <w:ind w:left="1135"/>
        <w:jc w:val="both"/>
        <w:rPr>
          <w:rFonts w:ascii="CG Times" w:hAnsi="CG Times"/>
          <w:sz w:val="26"/>
          <w:szCs w:val="26"/>
        </w:rPr>
      </w:pPr>
      <w:r>
        <w:rPr>
          <w:rFonts w:ascii="CG Times" w:hAnsi="CG Times"/>
          <w:sz w:val="26"/>
          <w:szCs w:val="26"/>
        </w:rPr>
        <w:t>- Que la adquisición</w:t>
      </w:r>
      <w:r>
        <w:rPr>
          <w:rStyle w:val="Refdenotaalfinal"/>
          <w:rFonts w:ascii="CG Times" w:hAnsi="CG Times"/>
          <w:b/>
          <w:sz w:val="28"/>
          <w:szCs w:val="28"/>
        </w:rPr>
        <w:endnoteReference w:id="38"/>
      </w:r>
      <w:r>
        <w:rPr>
          <w:rFonts w:ascii="CG Times" w:hAnsi="CG Times"/>
          <w:sz w:val="26"/>
          <w:szCs w:val="26"/>
        </w:rPr>
        <w:t xml:space="preserve"> se mantenga durante los 3 años</w:t>
      </w:r>
      <w:r>
        <w:rPr>
          <w:rStyle w:val="Refdenotaalfinal"/>
          <w:rFonts w:ascii="CG Times" w:hAnsi="CG Times"/>
          <w:b/>
          <w:sz w:val="28"/>
          <w:szCs w:val="28"/>
        </w:rPr>
        <w:endnoteReference w:id="39"/>
      </w:r>
      <w:r>
        <w:rPr>
          <w:rFonts w:ascii="CG Times" w:hAnsi="CG Times"/>
          <w:sz w:val="26"/>
          <w:szCs w:val="26"/>
        </w:rPr>
        <w:t xml:space="preserve"> (en la reforma operada por la</w:t>
      </w:r>
      <w:r>
        <w:rPr>
          <w:spacing w:val="6"/>
          <w:sz w:val="26"/>
          <w:szCs w:val="26"/>
        </w:rPr>
        <w:t xml:space="preserve"> </w:t>
      </w:r>
      <w:hyperlink r:id="rId289" w:history="1">
        <w:r>
          <w:rPr>
            <w:rStyle w:val="Hipervnculo"/>
            <w:rFonts w:ascii="Times New Roman" w:hAnsi="Times New Roman"/>
            <w:sz w:val="26"/>
            <w:szCs w:val="26"/>
          </w:rPr>
          <w:t>Ley 7/2017</w:t>
        </w:r>
      </w:hyperlink>
      <w:r>
        <w:rPr>
          <w:rFonts w:ascii="Times New Roman" w:hAnsi="Times New Roman"/>
          <w:sz w:val="26"/>
          <w:szCs w:val="26"/>
        </w:rPr>
        <w:t>, en vigor desde el 1 de junio de 2017) o los 10 años (que era el plazo estatal al que se remitía la legislación asturiana vigente hasta el 31 de mayo de 2017)</w:t>
      </w:r>
      <w:r>
        <w:rPr>
          <w:rFonts w:ascii="CG Times" w:hAnsi="CG Times"/>
          <w:sz w:val="26"/>
          <w:szCs w:val="26"/>
        </w:rPr>
        <w:t xml:space="preserve"> siguientes al fallecimiento del causante</w:t>
      </w:r>
      <w:r>
        <w:rPr>
          <w:rStyle w:val="Refdenotaalfinal"/>
          <w:rFonts w:ascii="CG Times" w:hAnsi="CG Times"/>
          <w:b/>
          <w:sz w:val="28"/>
          <w:szCs w:val="28"/>
        </w:rPr>
        <w:endnoteReference w:id="40"/>
      </w:r>
      <w:r>
        <w:rPr>
          <w:rFonts w:ascii="CG Times" w:hAnsi="CG Times"/>
          <w:sz w:val="26"/>
          <w:szCs w:val="26"/>
        </w:rPr>
        <w:t>.</w:t>
      </w:r>
    </w:p>
    <w:p w14:paraId="7EF4ABC4" w14:textId="77777777" w:rsidR="00EE1145" w:rsidRDefault="00EE1145">
      <w:pPr>
        <w:spacing w:line="280" w:lineRule="atLeast"/>
        <w:ind w:left="1135"/>
        <w:jc w:val="both"/>
        <w:rPr>
          <w:rFonts w:ascii="CG Times" w:hAnsi="CG Times"/>
          <w:sz w:val="26"/>
          <w:szCs w:val="26"/>
        </w:rPr>
      </w:pPr>
      <w:r>
        <w:rPr>
          <w:rFonts w:ascii="CG Times" w:hAnsi="CG Times"/>
          <w:sz w:val="26"/>
          <w:szCs w:val="26"/>
        </w:rPr>
        <w:t>- Que el límite de la reducción es de 122.606,47 € para cada sujeto pasivo</w:t>
      </w:r>
      <w:r>
        <w:rPr>
          <w:rStyle w:val="Refdenotaalfinal"/>
          <w:rFonts w:ascii="CG Times" w:hAnsi="CG Times"/>
          <w:b/>
          <w:sz w:val="28"/>
          <w:szCs w:val="28"/>
        </w:rPr>
        <w:endnoteReference w:id="41"/>
      </w:r>
      <w:r>
        <w:rPr>
          <w:rFonts w:ascii="CG Times" w:hAnsi="CG Times"/>
          <w:sz w:val="26"/>
          <w:szCs w:val="26"/>
        </w:rPr>
        <w:t>.</w:t>
      </w:r>
    </w:p>
    <w:p w14:paraId="0B6E83BB" w14:textId="77777777" w:rsidR="00EE1145" w:rsidRDefault="00EE1145">
      <w:pPr>
        <w:spacing w:line="280" w:lineRule="atLeast"/>
        <w:ind w:left="1135"/>
        <w:jc w:val="both"/>
        <w:rPr>
          <w:rFonts w:ascii="CG Times" w:hAnsi="CG Times"/>
          <w:sz w:val="26"/>
          <w:szCs w:val="26"/>
        </w:rPr>
      </w:pPr>
      <w:r>
        <w:rPr>
          <w:rFonts w:ascii="CG Times" w:hAnsi="CG Times"/>
          <w:sz w:val="26"/>
          <w:szCs w:val="26"/>
        </w:rPr>
        <w:t>Dicha escala es:</w:t>
      </w:r>
    </w:p>
    <w:tbl>
      <w:tblPr>
        <w:tblW w:w="0" w:type="auto"/>
        <w:tblCellSpacing w:w="0" w:type="dxa"/>
        <w:tblInd w:w="2198"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3133"/>
        <w:gridCol w:w="1407"/>
      </w:tblGrid>
      <w:tr w:rsidR="00EE1145" w14:paraId="388605CF"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29C0446C"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Valor real del inmueble (euros)</w:t>
            </w:r>
          </w:p>
        </w:tc>
        <w:tc>
          <w:tcPr>
            <w:tcW w:w="0" w:type="auto"/>
            <w:tcBorders>
              <w:top w:val="outset" w:sz="6" w:space="0" w:color="auto"/>
              <w:left w:val="outset" w:sz="6" w:space="0" w:color="auto"/>
              <w:bottom w:val="outset" w:sz="6" w:space="0" w:color="auto"/>
              <w:right w:val="outset" w:sz="6" w:space="0" w:color="auto"/>
            </w:tcBorders>
            <w:vAlign w:val="center"/>
          </w:tcPr>
          <w:p w14:paraId="500DB282"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Reducción %</w:t>
            </w:r>
          </w:p>
        </w:tc>
      </w:tr>
      <w:tr w:rsidR="00EE1145" w14:paraId="4FE7B12E" w14:textId="77777777">
        <w:trPr>
          <w:tblCellSpacing w:w="0" w:type="dxa"/>
        </w:trPr>
        <w:tc>
          <w:tcPr>
            <w:tcW w:w="0" w:type="auto"/>
            <w:tcBorders>
              <w:top w:val="outset" w:sz="6" w:space="0" w:color="auto"/>
              <w:left w:val="outset" w:sz="6" w:space="0" w:color="auto"/>
              <w:bottom w:val="outset" w:sz="6" w:space="0" w:color="auto"/>
              <w:right w:val="outset" w:sz="6" w:space="0" w:color="auto"/>
            </w:tcBorders>
          </w:tcPr>
          <w:p w14:paraId="0899B536" w14:textId="77777777" w:rsidR="00EE1145" w:rsidRDefault="00EE1145">
            <w:pPr>
              <w:overflowPunct/>
              <w:autoSpaceDE/>
              <w:autoSpaceDN/>
              <w:adjustRightInd/>
              <w:textAlignment w:val="auto"/>
              <w:rPr>
                <w:rFonts w:ascii="Times New Roman" w:hAnsi="Times New Roman"/>
                <w:sz w:val="24"/>
                <w:szCs w:val="24"/>
                <w:lang w:val="es-ES"/>
              </w:rPr>
            </w:pPr>
            <w:r>
              <w:rPr>
                <w:rFonts w:ascii="Times New Roman" w:hAnsi="Times New Roman"/>
                <w:sz w:val="24"/>
                <w:szCs w:val="24"/>
                <w:lang w:val="es-ES"/>
              </w:rPr>
              <w:t>Hasta 90.000</w:t>
            </w:r>
          </w:p>
        </w:tc>
        <w:tc>
          <w:tcPr>
            <w:tcW w:w="0" w:type="auto"/>
            <w:tcBorders>
              <w:top w:val="outset" w:sz="6" w:space="0" w:color="auto"/>
              <w:left w:val="outset" w:sz="6" w:space="0" w:color="auto"/>
              <w:bottom w:val="outset" w:sz="6" w:space="0" w:color="auto"/>
              <w:right w:val="outset" w:sz="6" w:space="0" w:color="auto"/>
            </w:tcBorders>
            <w:vAlign w:val="bottom"/>
          </w:tcPr>
          <w:p w14:paraId="0BC99862"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99%</w:t>
            </w:r>
          </w:p>
        </w:tc>
      </w:tr>
      <w:tr w:rsidR="00EE1145" w14:paraId="65474ECE" w14:textId="77777777">
        <w:trPr>
          <w:tblCellSpacing w:w="0" w:type="dxa"/>
        </w:trPr>
        <w:tc>
          <w:tcPr>
            <w:tcW w:w="0" w:type="auto"/>
            <w:tcBorders>
              <w:top w:val="outset" w:sz="6" w:space="0" w:color="auto"/>
              <w:left w:val="outset" w:sz="6" w:space="0" w:color="auto"/>
              <w:bottom w:val="outset" w:sz="6" w:space="0" w:color="auto"/>
              <w:right w:val="outset" w:sz="6" w:space="0" w:color="auto"/>
            </w:tcBorders>
          </w:tcPr>
          <w:p w14:paraId="068519CA" w14:textId="77777777" w:rsidR="00EE1145" w:rsidRDefault="00EE1145">
            <w:pPr>
              <w:overflowPunct/>
              <w:autoSpaceDE/>
              <w:autoSpaceDN/>
              <w:adjustRightInd/>
              <w:textAlignment w:val="auto"/>
              <w:rPr>
                <w:rFonts w:ascii="Times New Roman" w:hAnsi="Times New Roman"/>
                <w:sz w:val="24"/>
                <w:szCs w:val="24"/>
                <w:lang w:val="es-ES"/>
              </w:rPr>
            </w:pPr>
            <w:r>
              <w:rPr>
                <w:rFonts w:ascii="Times New Roman" w:hAnsi="Times New Roman"/>
                <w:sz w:val="24"/>
                <w:szCs w:val="24"/>
                <w:lang w:val="es-ES"/>
              </w:rPr>
              <w:t>De 90.000,01 a 120.000</w:t>
            </w:r>
          </w:p>
        </w:tc>
        <w:tc>
          <w:tcPr>
            <w:tcW w:w="0" w:type="auto"/>
            <w:tcBorders>
              <w:top w:val="outset" w:sz="6" w:space="0" w:color="auto"/>
              <w:left w:val="outset" w:sz="6" w:space="0" w:color="auto"/>
              <w:bottom w:val="outset" w:sz="6" w:space="0" w:color="auto"/>
              <w:right w:val="outset" w:sz="6" w:space="0" w:color="auto"/>
            </w:tcBorders>
            <w:vAlign w:val="bottom"/>
          </w:tcPr>
          <w:p w14:paraId="3B3B1953"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98%</w:t>
            </w:r>
          </w:p>
        </w:tc>
      </w:tr>
      <w:tr w:rsidR="00EE1145" w14:paraId="7DBEDAD6" w14:textId="77777777">
        <w:trPr>
          <w:tblCellSpacing w:w="0" w:type="dxa"/>
        </w:trPr>
        <w:tc>
          <w:tcPr>
            <w:tcW w:w="0" w:type="auto"/>
            <w:tcBorders>
              <w:top w:val="outset" w:sz="6" w:space="0" w:color="auto"/>
              <w:left w:val="outset" w:sz="6" w:space="0" w:color="auto"/>
              <w:bottom w:val="outset" w:sz="6" w:space="0" w:color="auto"/>
              <w:right w:val="outset" w:sz="6" w:space="0" w:color="auto"/>
            </w:tcBorders>
          </w:tcPr>
          <w:p w14:paraId="7BA723E0" w14:textId="77777777" w:rsidR="00EE1145" w:rsidRDefault="00EE1145">
            <w:pPr>
              <w:overflowPunct/>
              <w:autoSpaceDE/>
              <w:autoSpaceDN/>
              <w:adjustRightInd/>
              <w:textAlignment w:val="auto"/>
              <w:rPr>
                <w:rFonts w:ascii="Times New Roman" w:hAnsi="Times New Roman"/>
                <w:sz w:val="24"/>
                <w:szCs w:val="24"/>
                <w:lang w:val="es-ES"/>
              </w:rPr>
            </w:pPr>
            <w:r>
              <w:rPr>
                <w:rFonts w:ascii="Times New Roman" w:hAnsi="Times New Roman"/>
                <w:sz w:val="24"/>
                <w:szCs w:val="24"/>
                <w:lang w:val="es-ES"/>
              </w:rPr>
              <w:t>De 120.000,01 a 180.000</w:t>
            </w:r>
          </w:p>
        </w:tc>
        <w:tc>
          <w:tcPr>
            <w:tcW w:w="0" w:type="auto"/>
            <w:tcBorders>
              <w:top w:val="outset" w:sz="6" w:space="0" w:color="auto"/>
              <w:left w:val="outset" w:sz="6" w:space="0" w:color="auto"/>
              <w:bottom w:val="outset" w:sz="6" w:space="0" w:color="auto"/>
              <w:right w:val="outset" w:sz="6" w:space="0" w:color="auto"/>
            </w:tcBorders>
            <w:vAlign w:val="bottom"/>
          </w:tcPr>
          <w:p w14:paraId="56184FEB"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97%</w:t>
            </w:r>
          </w:p>
        </w:tc>
      </w:tr>
      <w:tr w:rsidR="00EE1145" w14:paraId="78B9DDE3" w14:textId="77777777">
        <w:trPr>
          <w:tblCellSpacing w:w="0" w:type="dxa"/>
        </w:trPr>
        <w:tc>
          <w:tcPr>
            <w:tcW w:w="0" w:type="auto"/>
            <w:tcBorders>
              <w:top w:val="outset" w:sz="6" w:space="0" w:color="auto"/>
              <w:left w:val="outset" w:sz="6" w:space="0" w:color="auto"/>
              <w:bottom w:val="outset" w:sz="6" w:space="0" w:color="auto"/>
              <w:right w:val="outset" w:sz="6" w:space="0" w:color="auto"/>
            </w:tcBorders>
          </w:tcPr>
          <w:p w14:paraId="1DDE363C" w14:textId="77777777" w:rsidR="00EE1145" w:rsidRDefault="00EE1145">
            <w:pPr>
              <w:overflowPunct/>
              <w:autoSpaceDE/>
              <w:autoSpaceDN/>
              <w:adjustRightInd/>
              <w:textAlignment w:val="auto"/>
              <w:rPr>
                <w:rFonts w:ascii="Times New Roman" w:hAnsi="Times New Roman"/>
                <w:sz w:val="24"/>
                <w:szCs w:val="24"/>
                <w:lang w:val="es-ES"/>
              </w:rPr>
            </w:pPr>
            <w:r>
              <w:rPr>
                <w:rFonts w:ascii="Times New Roman" w:hAnsi="Times New Roman"/>
                <w:sz w:val="24"/>
                <w:szCs w:val="24"/>
                <w:lang w:val="es-ES"/>
              </w:rPr>
              <w:t>De 180.000,01 a 240.000</w:t>
            </w:r>
          </w:p>
        </w:tc>
        <w:tc>
          <w:tcPr>
            <w:tcW w:w="0" w:type="auto"/>
            <w:tcBorders>
              <w:top w:val="outset" w:sz="6" w:space="0" w:color="auto"/>
              <w:left w:val="outset" w:sz="6" w:space="0" w:color="auto"/>
              <w:bottom w:val="outset" w:sz="6" w:space="0" w:color="auto"/>
              <w:right w:val="outset" w:sz="6" w:space="0" w:color="auto"/>
            </w:tcBorders>
            <w:vAlign w:val="bottom"/>
          </w:tcPr>
          <w:p w14:paraId="70D36440"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96%</w:t>
            </w:r>
          </w:p>
        </w:tc>
      </w:tr>
      <w:tr w:rsidR="00EE1145" w14:paraId="79F873D0" w14:textId="77777777">
        <w:trPr>
          <w:tblCellSpacing w:w="0" w:type="dxa"/>
        </w:trPr>
        <w:tc>
          <w:tcPr>
            <w:tcW w:w="0" w:type="auto"/>
            <w:tcBorders>
              <w:top w:val="outset" w:sz="6" w:space="0" w:color="auto"/>
              <w:left w:val="outset" w:sz="6" w:space="0" w:color="auto"/>
              <w:bottom w:val="outset" w:sz="6" w:space="0" w:color="auto"/>
              <w:right w:val="outset" w:sz="6" w:space="0" w:color="auto"/>
            </w:tcBorders>
          </w:tcPr>
          <w:p w14:paraId="0D824A60" w14:textId="77777777" w:rsidR="00EE1145" w:rsidRDefault="00EE1145">
            <w:pPr>
              <w:overflowPunct/>
              <w:autoSpaceDE/>
              <w:autoSpaceDN/>
              <w:adjustRightInd/>
              <w:textAlignment w:val="auto"/>
              <w:rPr>
                <w:rFonts w:ascii="Times New Roman" w:hAnsi="Times New Roman"/>
                <w:sz w:val="24"/>
                <w:szCs w:val="24"/>
                <w:lang w:val="es-ES"/>
              </w:rPr>
            </w:pPr>
            <w:r>
              <w:rPr>
                <w:rFonts w:ascii="Times New Roman" w:hAnsi="Times New Roman"/>
                <w:sz w:val="24"/>
                <w:szCs w:val="24"/>
                <w:lang w:val="es-ES"/>
              </w:rPr>
              <w:t>Más de 240.000</w:t>
            </w:r>
          </w:p>
        </w:tc>
        <w:tc>
          <w:tcPr>
            <w:tcW w:w="0" w:type="auto"/>
            <w:tcBorders>
              <w:top w:val="outset" w:sz="6" w:space="0" w:color="auto"/>
              <w:left w:val="outset" w:sz="6" w:space="0" w:color="auto"/>
              <w:bottom w:val="outset" w:sz="6" w:space="0" w:color="auto"/>
              <w:right w:val="outset" w:sz="6" w:space="0" w:color="auto"/>
            </w:tcBorders>
            <w:vAlign w:val="bottom"/>
          </w:tcPr>
          <w:p w14:paraId="5A6BF08F"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95%</w:t>
            </w:r>
          </w:p>
        </w:tc>
      </w:tr>
    </w:tbl>
    <w:p w14:paraId="4B7FF8E9"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80" w:name="t432"/>
      <w:bookmarkEnd w:id="180"/>
      <w:r>
        <w:rPr>
          <w:b/>
          <w:spacing w:val="6"/>
          <w:sz w:val="26"/>
          <w:szCs w:val="26"/>
        </w:rPr>
        <w:t>Tratamiento notarial</w:t>
      </w:r>
    </w:p>
    <w:p w14:paraId="077CD059" w14:textId="77777777" w:rsidR="00EE1145" w:rsidRDefault="00EE1145" w:rsidP="009657C4">
      <w:pPr>
        <w:spacing w:after="60"/>
        <w:ind w:left="1077"/>
        <w:jc w:val="both"/>
        <w:rPr>
          <w:rFonts w:ascii="CG Times" w:hAnsi="CG Times"/>
          <w:sz w:val="26"/>
          <w:szCs w:val="26"/>
        </w:rPr>
      </w:pPr>
      <w:r>
        <w:rPr>
          <w:rFonts w:ascii="CG Times" w:hAnsi="CG Times"/>
          <w:sz w:val="26"/>
          <w:szCs w:val="26"/>
        </w:rPr>
        <w:t>Incluir la anterior cláusula en la Exposición (eligiendo las opciones correspondientes).</w:t>
      </w:r>
    </w:p>
    <w:p w14:paraId="5A51A7AB" w14:textId="77777777" w:rsidR="00EE1145" w:rsidRDefault="00EE1145" w:rsidP="00C854F8">
      <w:pPr>
        <w:numPr>
          <w:ilvl w:val="1"/>
          <w:numId w:val="15"/>
        </w:numPr>
        <w:tabs>
          <w:tab w:val="clear" w:pos="792"/>
          <w:tab w:val="num" w:pos="432"/>
        </w:tabs>
        <w:spacing w:line="280" w:lineRule="atLeast"/>
        <w:ind w:left="432"/>
        <w:jc w:val="both"/>
        <w:rPr>
          <w:b/>
          <w:color w:val="000000"/>
          <w:spacing w:val="6"/>
          <w:sz w:val="22"/>
          <w:szCs w:val="22"/>
        </w:rPr>
      </w:pPr>
      <w:bookmarkStart w:id="181" w:name="D4"/>
      <w:bookmarkEnd w:id="181"/>
      <w:r>
        <w:rPr>
          <w:b/>
          <w:color w:val="000000"/>
          <w:spacing w:val="6"/>
          <w:sz w:val="26"/>
          <w:szCs w:val="26"/>
        </w:rPr>
        <w:t>Reducción adicional del 4% (a la estatal del 95%) en la base imponible por patrimonio empresarial del causante en favor de parientes</w:t>
      </w:r>
      <w:r>
        <w:rPr>
          <w:rStyle w:val="Refdenotaalfinal"/>
          <w:b/>
          <w:color w:val="000000"/>
          <w:spacing w:val="6"/>
          <w:sz w:val="26"/>
          <w:szCs w:val="26"/>
        </w:rPr>
        <w:endnoteReference w:id="42"/>
      </w:r>
    </w:p>
    <w:p w14:paraId="099A33F3"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82" w:name="l441"/>
      <w:bookmarkEnd w:id="182"/>
      <w:r>
        <w:rPr>
          <w:b/>
          <w:spacing w:val="6"/>
          <w:sz w:val="26"/>
          <w:szCs w:val="26"/>
        </w:rPr>
        <w:t>Legislación, vigor y reseña de su contenido</w:t>
      </w:r>
    </w:p>
    <w:p w14:paraId="7BC7A92C" w14:textId="77777777" w:rsidR="00EE1145" w:rsidRDefault="00EE1145">
      <w:pPr>
        <w:spacing w:line="280" w:lineRule="atLeast"/>
        <w:ind w:left="1080"/>
        <w:jc w:val="both"/>
        <w:rPr>
          <w:color w:val="000000"/>
          <w:spacing w:val="6"/>
          <w:sz w:val="26"/>
          <w:szCs w:val="26"/>
        </w:rPr>
      </w:pPr>
      <w:hyperlink r:id="rId290" w:anchor="a17" w:history="1">
        <w:r>
          <w:rPr>
            <w:rStyle w:val="Hipervnculo"/>
            <w:spacing w:val="6"/>
            <w:sz w:val="26"/>
            <w:szCs w:val="26"/>
          </w:rPr>
          <w:t>Art. 18 del Decreto-legislativo asturiano 2/2014</w:t>
        </w:r>
      </w:hyperlink>
      <w:r>
        <w:rPr>
          <w:spacing w:val="6"/>
          <w:sz w:val="26"/>
          <w:szCs w:val="26"/>
        </w:rPr>
        <w:t xml:space="preserve"> (reformado por la </w:t>
      </w:r>
      <w:hyperlink r:id="rId291" w:history="1">
        <w:r>
          <w:rPr>
            <w:rStyle w:val="Hipervnculo"/>
            <w:rFonts w:ascii="Times New Roman" w:hAnsi="Times New Roman"/>
            <w:sz w:val="26"/>
            <w:szCs w:val="26"/>
          </w:rPr>
          <w:t>Ley 7/2017</w:t>
        </w:r>
      </w:hyperlink>
      <w:r>
        <w:rPr>
          <w:spacing w:val="6"/>
          <w:sz w:val="26"/>
          <w:szCs w:val="26"/>
        </w:rPr>
        <w:t>, de aplicación desde el 1 de junio de 2017): Añade una reducción del 4% a la equivalente reducción estatal del 95%, en la base imponible del Impuesto sobre Sucesiones por la transmisión de la empresa individual, negocio profesional y participación en entidades del causante</w:t>
      </w:r>
      <w:r>
        <w:rPr>
          <w:color w:val="FF0000"/>
          <w:spacing w:val="6"/>
          <w:sz w:val="26"/>
          <w:szCs w:val="26"/>
        </w:rPr>
        <w:t xml:space="preserve"> </w:t>
      </w:r>
      <w:r>
        <w:rPr>
          <w:color w:val="000000"/>
          <w:spacing w:val="6"/>
          <w:sz w:val="26"/>
          <w:szCs w:val="26"/>
        </w:rPr>
        <w:t>cuando concurran los siguientes requisitos:</w:t>
      </w:r>
    </w:p>
    <w:p w14:paraId="35B1EA28" w14:textId="77777777" w:rsidR="00EE1145" w:rsidRDefault="00EE1145">
      <w:pPr>
        <w:spacing w:line="280" w:lineRule="atLeast"/>
        <w:ind w:left="1080"/>
        <w:jc w:val="both"/>
        <w:rPr>
          <w:color w:val="000000"/>
          <w:spacing w:val="6"/>
          <w:sz w:val="26"/>
          <w:szCs w:val="26"/>
        </w:rPr>
      </w:pPr>
      <w:r>
        <w:rPr>
          <w:color w:val="000000"/>
          <w:spacing w:val="6"/>
          <w:sz w:val="26"/>
          <w:szCs w:val="26"/>
        </w:rPr>
        <w:t>- Que el causahabiente sea cónyuge, descendiente, ascendiente o colateral por consanguinidad hasta el tercer grado del causante</w:t>
      </w:r>
      <w:r w:rsidR="00933E43">
        <w:rPr>
          <w:color w:val="000000"/>
          <w:spacing w:val="6"/>
          <w:sz w:val="26"/>
          <w:szCs w:val="26"/>
        </w:rPr>
        <w:t xml:space="preserve"> (cuarto grado desde el 1 de enero de 2025)</w:t>
      </w:r>
      <w:r>
        <w:rPr>
          <w:color w:val="000000"/>
          <w:spacing w:val="6"/>
          <w:sz w:val="26"/>
          <w:szCs w:val="26"/>
        </w:rPr>
        <w:t>.</w:t>
      </w:r>
    </w:p>
    <w:p w14:paraId="0570CD09" w14:textId="77777777" w:rsidR="00EE1145" w:rsidRDefault="00EE1145">
      <w:pPr>
        <w:spacing w:line="280" w:lineRule="atLeast"/>
        <w:ind w:left="1080"/>
        <w:jc w:val="both"/>
        <w:rPr>
          <w:color w:val="000000"/>
          <w:spacing w:val="6"/>
          <w:sz w:val="26"/>
          <w:szCs w:val="26"/>
        </w:rPr>
      </w:pPr>
      <w:r>
        <w:rPr>
          <w:color w:val="000000"/>
          <w:spacing w:val="6"/>
          <w:sz w:val="26"/>
          <w:szCs w:val="26"/>
        </w:rPr>
        <w:t>- Que el domicilio fiscal esté en Asturias</w:t>
      </w:r>
      <w:r>
        <w:rPr>
          <w:rStyle w:val="Refdenotaalfinal"/>
          <w:b/>
          <w:color w:val="000000"/>
          <w:spacing w:val="6"/>
          <w:sz w:val="28"/>
          <w:szCs w:val="28"/>
        </w:rPr>
        <w:endnoteReference w:id="43"/>
      </w:r>
      <w:r>
        <w:rPr>
          <w:rFonts w:ascii="CG Times" w:hAnsi="CG Times"/>
          <w:color w:val="000000"/>
          <w:sz w:val="26"/>
          <w:szCs w:val="26"/>
        </w:rPr>
        <w:t>.</w:t>
      </w:r>
    </w:p>
    <w:p w14:paraId="53769734" w14:textId="77777777" w:rsidR="00EE1145" w:rsidRDefault="00EE1145">
      <w:pPr>
        <w:spacing w:line="280" w:lineRule="atLeast"/>
        <w:ind w:left="1080"/>
        <w:jc w:val="both"/>
        <w:rPr>
          <w:color w:val="000000"/>
          <w:spacing w:val="6"/>
          <w:sz w:val="26"/>
          <w:szCs w:val="26"/>
        </w:rPr>
      </w:pPr>
      <w:r>
        <w:rPr>
          <w:color w:val="000000"/>
          <w:spacing w:val="6"/>
          <w:sz w:val="26"/>
          <w:szCs w:val="26"/>
        </w:rPr>
        <w:t xml:space="preserve">- Que al patrimonio empresarial adquirido le sea de aplicación la exención del </w:t>
      </w:r>
      <w:hyperlink r:id="rId292" w:anchor="a4" w:history="1">
        <w:r>
          <w:rPr>
            <w:rStyle w:val="Hipervnculo"/>
            <w:spacing w:val="6"/>
            <w:sz w:val="26"/>
            <w:szCs w:val="26"/>
          </w:rPr>
          <w:t>artículo 4-8 de la Ley 18/1991, del Impuesto sobre el Patrimonio</w:t>
        </w:r>
      </w:hyperlink>
      <w:r>
        <w:rPr>
          <w:color w:val="000000"/>
          <w:spacing w:val="6"/>
          <w:sz w:val="26"/>
          <w:szCs w:val="26"/>
        </w:rPr>
        <w:t xml:space="preserve"> (y su valor no exceda de 5.000.000 € para sucesiones anteriores al 1 de junio de 2017)</w:t>
      </w:r>
    </w:p>
    <w:p w14:paraId="079383EE" w14:textId="77777777" w:rsidR="00EE1145" w:rsidRDefault="00EE1145">
      <w:pPr>
        <w:spacing w:line="280" w:lineRule="atLeast"/>
        <w:ind w:left="1080"/>
        <w:jc w:val="both"/>
        <w:rPr>
          <w:rFonts w:ascii="CG Times" w:hAnsi="CG Times"/>
          <w:color w:val="000000"/>
          <w:sz w:val="26"/>
          <w:szCs w:val="26"/>
        </w:rPr>
      </w:pPr>
      <w:r>
        <w:rPr>
          <w:rFonts w:ascii="CG Times" w:hAnsi="CG Times"/>
          <w:color w:val="000000"/>
          <w:sz w:val="26"/>
          <w:szCs w:val="26"/>
        </w:rPr>
        <w:lastRenderedPageBreak/>
        <w:t>- Que la adquisición y domiciliación asturiana se mantenga durante los 5 años siguientes al fallecimiento del causante (10 años para sucesiones anteriores al 1 de junio de 2017).</w:t>
      </w:r>
    </w:p>
    <w:p w14:paraId="4138F35D" w14:textId="77777777" w:rsidR="00EE1145" w:rsidRDefault="00EE1145">
      <w:pPr>
        <w:spacing w:line="280" w:lineRule="atLeast"/>
        <w:ind w:left="1080"/>
        <w:jc w:val="both"/>
        <w:rPr>
          <w:rFonts w:ascii="CG Times" w:hAnsi="CG Times"/>
          <w:color w:val="000000"/>
          <w:sz w:val="26"/>
          <w:szCs w:val="26"/>
        </w:rPr>
      </w:pPr>
      <w:r>
        <w:rPr>
          <w:rFonts w:ascii="CG Times" w:hAnsi="CG Times"/>
          <w:color w:val="000000"/>
          <w:sz w:val="26"/>
          <w:szCs w:val="26"/>
        </w:rPr>
        <w:t xml:space="preserve">Recordemos que </w:t>
      </w:r>
      <w:r>
        <w:rPr>
          <w:spacing w:val="6"/>
          <w:sz w:val="26"/>
          <w:szCs w:val="26"/>
        </w:rPr>
        <w:t>la reducción estatal es del 95% en la base imponible del Impuesto sobre Sucesiones por la transmisión de la empresa individual, negocio profesional y participación en entidades del causante</w:t>
      </w:r>
      <w:r>
        <w:rPr>
          <w:color w:val="FF0000"/>
          <w:spacing w:val="6"/>
          <w:sz w:val="26"/>
          <w:szCs w:val="26"/>
        </w:rPr>
        <w:t xml:space="preserve"> </w:t>
      </w:r>
      <w:r>
        <w:rPr>
          <w:color w:val="000000"/>
          <w:spacing w:val="6"/>
          <w:sz w:val="26"/>
          <w:szCs w:val="26"/>
        </w:rPr>
        <w:t>cuando concurran los siguientes requisitos:</w:t>
      </w:r>
    </w:p>
    <w:p w14:paraId="40DD0F93" w14:textId="77777777" w:rsidR="00EE1145" w:rsidRDefault="00EE1145">
      <w:pPr>
        <w:spacing w:line="280" w:lineRule="atLeast"/>
        <w:ind w:left="1080"/>
        <w:jc w:val="both"/>
        <w:rPr>
          <w:color w:val="000000"/>
          <w:spacing w:val="6"/>
          <w:sz w:val="26"/>
          <w:szCs w:val="26"/>
        </w:rPr>
      </w:pPr>
      <w:r>
        <w:rPr>
          <w:color w:val="000000"/>
          <w:spacing w:val="6"/>
          <w:sz w:val="26"/>
          <w:szCs w:val="26"/>
        </w:rPr>
        <w:t>- Que el causahabiente sea cónyuge o descendiente del causante o, en defecto de descendientes, ascendiente o colateral hasta el tercer grado.</w:t>
      </w:r>
    </w:p>
    <w:p w14:paraId="7BAB5D9B" w14:textId="77777777" w:rsidR="00EE1145" w:rsidRDefault="00EE1145">
      <w:pPr>
        <w:spacing w:line="280" w:lineRule="atLeast"/>
        <w:ind w:left="1080"/>
        <w:jc w:val="both"/>
        <w:rPr>
          <w:color w:val="000000"/>
          <w:spacing w:val="6"/>
          <w:sz w:val="26"/>
          <w:szCs w:val="26"/>
        </w:rPr>
      </w:pPr>
      <w:r>
        <w:rPr>
          <w:color w:val="000000"/>
          <w:spacing w:val="6"/>
          <w:sz w:val="26"/>
          <w:szCs w:val="26"/>
        </w:rPr>
        <w:t>- Que al patrimonio empresarial adquirido le sea de aplicación</w:t>
      </w:r>
      <w:r>
        <w:rPr>
          <w:rStyle w:val="Refdenotaalfinal"/>
          <w:b/>
          <w:color w:val="000000"/>
          <w:spacing w:val="6"/>
          <w:sz w:val="28"/>
          <w:szCs w:val="28"/>
        </w:rPr>
        <w:endnoteReference w:id="44"/>
      </w:r>
      <w:r>
        <w:rPr>
          <w:color w:val="000000"/>
          <w:spacing w:val="6"/>
          <w:sz w:val="26"/>
          <w:szCs w:val="26"/>
        </w:rPr>
        <w:t xml:space="preserve"> la exención del </w:t>
      </w:r>
      <w:hyperlink r:id="rId293" w:anchor="a4" w:history="1">
        <w:r>
          <w:rPr>
            <w:rStyle w:val="Hipervnculo"/>
            <w:spacing w:val="6"/>
            <w:sz w:val="26"/>
            <w:szCs w:val="26"/>
          </w:rPr>
          <w:t>artículo 4-8 de la Ley 18/1991, del Impuesto sobre el Patrimonio</w:t>
        </w:r>
      </w:hyperlink>
      <w:r>
        <w:rPr>
          <w:rStyle w:val="Refdenotaalfinal"/>
          <w:b/>
          <w:color w:val="000000"/>
          <w:spacing w:val="6"/>
          <w:sz w:val="28"/>
          <w:szCs w:val="28"/>
        </w:rPr>
        <w:endnoteReference w:id="45"/>
      </w:r>
      <w:r>
        <w:rPr>
          <w:color w:val="000000"/>
          <w:spacing w:val="6"/>
          <w:sz w:val="26"/>
          <w:szCs w:val="26"/>
        </w:rPr>
        <w:t>.</w:t>
      </w:r>
    </w:p>
    <w:p w14:paraId="7832F007" w14:textId="77777777" w:rsidR="00EE1145" w:rsidRDefault="00EE1145">
      <w:pPr>
        <w:spacing w:line="280" w:lineRule="atLeast"/>
        <w:ind w:left="1080"/>
        <w:jc w:val="both"/>
        <w:rPr>
          <w:rFonts w:ascii="CG Times" w:hAnsi="CG Times"/>
          <w:color w:val="000000"/>
          <w:sz w:val="26"/>
          <w:szCs w:val="26"/>
        </w:rPr>
      </w:pPr>
      <w:r>
        <w:rPr>
          <w:rFonts w:ascii="CG Times" w:hAnsi="CG Times"/>
          <w:color w:val="000000"/>
          <w:sz w:val="26"/>
          <w:szCs w:val="26"/>
        </w:rPr>
        <w:t>- Que la adquisición se mantenga durante los 10 años siguientes al fallecimiento del causante, salvo fallecimiento del causahabiente durante ese plazo.</w:t>
      </w:r>
    </w:p>
    <w:p w14:paraId="552F2BF6"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83" w:name="t442"/>
      <w:bookmarkEnd w:id="183"/>
      <w:r>
        <w:rPr>
          <w:b/>
          <w:spacing w:val="6"/>
          <w:sz w:val="26"/>
          <w:szCs w:val="26"/>
        </w:rPr>
        <w:t>Tratamiento notarial</w:t>
      </w:r>
    </w:p>
    <w:p w14:paraId="0DB65A1B" w14:textId="77777777" w:rsidR="00EE1145" w:rsidRDefault="00EE1145" w:rsidP="009657C4">
      <w:pPr>
        <w:spacing w:after="60"/>
        <w:ind w:left="1077"/>
        <w:jc w:val="both"/>
        <w:rPr>
          <w:rFonts w:ascii="CG Times" w:hAnsi="CG Times"/>
          <w:sz w:val="26"/>
          <w:szCs w:val="26"/>
        </w:rPr>
      </w:pPr>
      <w:r>
        <w:rPr>
          <w:rFonts w:ascii="CG Times" w:hAnsi="CG Times"/>
          <w:sz w:val="26"/>
          <w:szCs w:val="26"/>
        </w:rPr>
        <w:t>Incluir la anterior cláusula en la Exposición (eligiendo las opciones correspondientes).</w:t>
      </w:r>
    </w:p>
    <w:p w14:paraId="27AB7A34" w14:textId="77777777" w:rsidR="00EE1145" w:rsidRDefault="00EE1145" w:rsidP="00C854F8">
      <w:pPr>
        <w:numPr>
          <w:ilvl w:val="1"/>
          <w:numId w:val="15"/>
        </w:numPr>
        <w:tabs>
          <w:tab w:val="clear" w:pos="792"/>
          <w:tab w:val="num" w:pos="432"/>
        </w:tabs>
        <w:spacing w:line="280" w:lineRule="atLeast"/>
        <w:ind w:left="432"/>
        <w:jc w:val="both"/>
        <w:rPr>
          <w:b/>
          <w:color w:val="000000"/>
          <w:spacing w:val="6"/>
          <w:sz w:val="22"/>
          <w:szCs w:val="22"/>
        </w:rPr>
      </w:pPr>
      <w:bookmarkStart w:id="184" w:name="D5"/>
      <w:bookmarkEnd w:id="184"/>
      <w:r>
        <w:rPr>
          <w:b/>
          <w:color w:val="000000"/>
          <w:spacing w:val="6"/>
          <w:sz w:val="26"/>
          <w:szCs w:val="26"/>
        </w:rPr>
        <w:t>Reducción propia del 99% en la base imponible por la explotación agraria del causante o elementos afectos en favor de parientes (desde el 01/06/2017)</w:t>
      </w:r>
    </w:p>
    <w:p w14:paraId="787BDFCC"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85" w:name="l451"/>
      <w:bookmarkEnd w:id="185"/>
      <w:r>
        <w:rPr>
          <w:rFonts w:ascii="Times New Roman" w:hAnsi="Times New Roman"/>
          <w:b/>
          <w:spacing w:val="6"/>
          <w:sz w:val="26"/>
          <w:szCs w:val="26"/>
        </w:rPr>
        <w:t>Legislación, vigor y reseña de su contenido</w:t>
      </w:r>
    </w:p>
    <w:p w14:paraId="43459D2E" w14:textId="77777777" w:rsidR="00EE1145" w:rsidRDefault="00EE1145">
      <w:pPr>
        <w:spacing w:line="280" w:lineRule="atLeast"/>
        <w:ind w:left="1080"/>
        <w:jc w:val="both"/>
        <w:rPr>
          <w:color w:val="000000"/>
          <w:spacing w:val="6"/>
          <w:sz w:val="26"/>
          <w:szCs w:val="26"/>
        </w:rPr>
      </w:pPr>
      <w:hyperlink r:id="rId294" w:anchor="a17" w:history="1">
        <w:r>
          <w:rPr>
            <w:rStyle w:val="Hipervnculo"/>
            <w:spacing w:val="6"/>
            <w:sz w:val="26"/>
            <w:szCs w:val="26"/>
          </w:rPr>
          <w:t>Art. 18-bis del Decreto-legislativo asturiano 2/2014</w:t>
        </w:r>
      </w:hyperlink>
      <w:r>
        <w:rPr>
          <w:spacing w:val="6"/>
          <w:sz w:val="26"/>
          <w:szCs w:val="26"/>
        </w:rPr>
        <w:t xml:space="preserve"> (introducida por la </w:t>
      </w:r>
      <w:hyperlink r:id="rId295" w:history="1">
        <w:r>
          <w:rPr>
            <w:rStyle w:val="Hipervnculo"/>
            <w:rFonts w:ascii="Times New Roman" w:hAnsi="Times New Roman"/>
            <w:sz w:val="26"/>
            <w:szCs w:val="26"/>
          </w:rPr>
          <w:t>Ley 7/2017</w:t>
        </w:r>
      </w:hyperlink>
      <w:r>
        <w:rPr>
          <w:spacing w:val="6"/>
          <w:sz w:val="26"/>
          <w:szCs w:val="26"/>
        </w:rPr>
        <w:t xml:space="preserve">, de aplicación desde el 1 de junio de 2017): Reducción propia del 99% en la base imponible del Impuesto sobre Sucesiones por la transmisión de una explotación agraria ubicada en Asturias o de elementos afectos, así como de derechos de usufructo, </w:t>
      </w:r>
      <w:r>
        <w:rPr>
          <w:color w:val="000000"/>
          <w:spacing w:val="6"/>
          <w:sz w:val="26"/>
          <w:szCs w:val="26"/>
        </w:rPr>
        <w:t>cuando concurran los siguientes requisitos:</w:t>
      </w:r>
    </w:p>
    <w:p w14:paraId="60ABC227" w14:textId="77777777" w:rsidR="00EE1145" w:rsidRDefault="00EE1145">
      <w:pPr>
        <w:spacing w:line="280" w:lineRule="atLeast"/>
        <w:ind w:left="1080"/>
        <w:jc w:val="both"/>
        <w:rPr>
          <w:color w:val="000000"/>
          <w:spacing w:val="6"/>
          <w:sz w:val="26"/>
          <w:szCs w:val="26"/>
        </w:rPr>
      </w:pPr>
      <w:r>
        <w:rPr>
          <w:color w:val="000000"/>
          <w:spacing w:val="6"/>
          <w:sz w:val="26"/>
          <w:szCs w:val="26"/>
        </w:rPr>
        <w:t xml:space="preserve">- Que, tratándose de explotaciones agrarias, el causante o su cónyuge tuviesen en la fecha del devengo la condición de agricultor profesional; y se </w:t>
      </w:r>
      <w:r>
        <w:rPr>
          <w:rFonts w:ascii="CG Times" w:hAnsi="CG Times"/>
          <w:color w:val="000000"/>
          <w:sz w:val="26"/>
          <w:szCs w:val="26"/>
        </w:rPr>
        <w:t xml:space="preserve">hayan ejercido efectivamente las actividades durante los 2 años anteriores; y, tratándose de elementos afectos, el adquirente o su cónyuge tuviesen en la fecha del devengo la condición de agricultor profesional y sean titulares de una explotación agraria a la cual estén afectos los elementos que se transmiten. Todo ello conforme a la </w:t>
      </w:r>
      <w:hyperlink r:id="rId296" w:history="1">
        <w:r>
          <w:rPr>
            <w:rStyle w:val="Hipervnculo"/>
            <w:rFonts w:ascii="CG Times" w:hAnsi="CG Times"/>
            <w:sz w:val="26"/>
            <w:szCs w:val="26"/>
          </w:rPr>
          <w:t>Ley 19/1995 de Modernización de las explotaciones agrarias</w:t>
        </w:r>
      </w:hyperlink>
      <w:r>
        <w:rPr>
          <w:rFonts w:ascii="CG Times" w:hAnsi="CG Times"/>
          <w:color w:val="000000"/>
          <w:sz w:val="26"/>
          <w:szCs w:val="26"/>
        </w:rPr>
        <w:t>.</w:t>
      </w:r>
    </w:p>
    <w:p w14:paraId="38444735" w14:textId="77777777" w:rsidR="00EE1145" w:rsidRDefault="00EE1145">
      <w:pPr>
        <w:spacing w:line="280" w:lineRule="atLeast"/>
        <w:ind w:left="1080"/>
        <w:jc w:val="both"/>
        <w:rPr>
          <w:color w:val="000000"/>
          <w:spacing w:val="6"/>
          <w:sz w:val="26"/>
          <w:szCs w:val="26"/>
        </w:rPr>
      </w:pPr>
      <w:r>
        <w:rPr>
          <w:color w:val="000000"/>
          <w:spacing w:val="6"/>
          <w:sz w:val="26"/>
          <w:szCs w:val="26"/>
        </w:rPr>
        <w:t>- Que el causahabiente sea cónyuge, descendiente, ascendiente o colateral por consanguinidad hasta el tercer grado del causante.</w:t>
      </w:r>
    </w:p>
    <w:p w14:paraId="2E6C8B74" w14:textId="77777777" w:rsidR="00EE1145" w:rsidRDefault="00EE1145">
      <w:pPr>
        <w:spacing w:line="280" w:lineRule="atLeast"/>
        <w:ind w:left="1080"/>
        <w:jc w:val="both"/>
        <w:rPr>
          <w:rFonts w:ascii="CG Times" w:hAnsi="CG Times"/>
          <w:color w:val="000000"/>
          <w:sz w:val="26"/>
          <w:szCs w:val="26"/>
        </w:rPr>
      </w:pPr>
      <w:r>
        <w:rPr>
          <w:color w:val="000000"/>
          <w:spacing w:val="6"/>
          <w:sz w:val="26"/>
          <w:szCs w:val="26"/>
        </w:rPr>
        <w:t>- Que el causahabiente mantenga la adquisición y su condición de agricultor profesional durante 5 años</w:t>
      </w:r>
      <w:r>
        <w:rPr>
          <w:rFonts w:ascii="CG Times" w:hAnsi="CG Times"/>
          <w:color w:val="000000"/>
          <w:sz w:val="26"/>
          <w:szCs w:val="26"/>
        </w:rPr>
        <w:t>, salvo fallecimiento o transmisión en virtud de pacto sucesorio.</w:t>
      </w:r>
    </w:p>
    <w:p w14:paraId="152EBAC2" w14:textId="77777777" w:rsidR="00EE1145" w:rsidRDefault="00EE1145">
      <w:pPr>
        <w:spacing w:line="280" w:lineRule="atLeast"/>
        <w:ind w:left="1080"/>
        <w:jc w:val="both"/>
        <w:rPr>
          <w:rFonts w:ascii="CG Times" w:hAnsi="CG Times"/>
          <w:color w:val="000000"/>
          <w:sz w:val="26"/>
          <w:szCs w:val="26"/>
        </w:rPr>
      </w:pPr>
      <w:r>
        <w:rPr>
          <w:rFonts w:ascii="CG Times" w:hAnsi="CG Times"/>
          <w:color w:val="000000"/>
          <w:sz w:val="26"/>
          <w:szCs w:val="26"/>
        </w:rPr>
        <w:t>- Que la adquisición y domiciliación asturiana se mantenga durante los 5 años siguientes al fallecimiento del causante.</w:t>
      </w:r>
    </w:p>
    <w:p w14:paraId="3CBF613E"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86" w:name="t452"/>
      <w:bookmarkEnd w:id="186"/>
      <w:r>
        <w:rPr>
          <w:b/>
          <w:color w:val="000000"/>
          <w:spacing w:val="6"/>
          <w:sz w:val="26"/>
          <w:szCs w:val="26"/>
        </w:rPr>
        <w:t>Tratamiento notarial</w:t>
      </w:r>
    </w:p>
    <w:p w14:paraId="15026D47" w14:textId="77777777" w:rsidR="00EE1145" w:rsidRDefault="00EE1145" w:rsidP="009657C4">
      <w:pPr>
        <w:spacing w:after="60"/>
        <w:ind w:left="1077"/>
        <w:jc w:val="both"/>
        <w:rPr>
          <w:rFonts w:ascii="CG Times" w:hAnsi="CG Times"/>
          <w:sz w:val="26"/>
          <w:szCs w:val="26"/>
        </w:rPr>
      </w:pPr>
      <w:r>
        <w:rPr>
          <w:rFonts w:ascii="CG Times" w:hAnsi="CG Times"/>
          <w:sz w:val="26"/>
          <w:szCs w:val="26"/>
        </w:rPr>
        <w:lastRenderedPageBreak/>
        <w:t>Incluir la anterior cláusula en la Exposición (eligiendo las opciones correspondientes).</w:t>
      </w:r>
    </w:p>
    <w:p w14:paraId="192709E6" w14:textId="77777777" w:rsidR="00EE1145" w:rsidRDefault="00EE1145" w:rsidP="00C854F8">
      <w:pPr>
        <w:numPr>
          <w:ilvl w:val="1"/>
          <w:numId w:val="15"/>
        </w:numPr>
        <w:tabs>
          <w:tab w:val="clear" w:pos="792"/>
          <w:tab w:val="num" w:pos="432"/>
        </w:tabs>
        <w:spacing w:line="280" w:lineRule="atLeast"/>
        <w:ind w:left="432"/>
        <w:jc w:val="both"/>
        <w:rPr>
          <w:b/>
          <w:color w:val="000000"/>
          <w:spacing w:val="6"/>
          <w:sz w:val="22"/>
          <w:szCs w:val="22"/>
        </w:rPr>
      </w:pPr>
      <w:bookmarkStart w:id="187" w:name="col45"/>
      <w:bookmarkEnd w:id="187"/>
      <w:r>
        <w:rPr>
          <w:b/>
          <w:color w:val="000000"/>
          <w:spacing w:val="6"/>
          <w:sz w:val="26"/>
          <w:szCs w:val="26"/>
        </w:rPr>
        <w:t>Reducción propia del 95% en la base imponible por patrimonio empresarial del causante en favor de colaboradores (desde el 01/06/2017)</w:t>
      </w:r>
    </w:p>
    <w:p w14:paraId="09B36C83" w14:textId="77777777" w:rsidR="00EE1145" w:rsidRDefault="00EE1145" w:rsidP="00C854F8">
      <w:pPr>
        <w:numPr>
          <w:ilvl w:val="2"/>
          <w:numId w:val="15"/>
        </w:numPr>
        <w:tabs>
          <w:tab w:val="clear" w:pos="1440"/>
          <w:tab w:val="num" w:pos="1080"/>
        </w:tabs>
        <w:spacing w:line="280" w:lineRule="atLeast"/>
        <w:ind w:left="864"/>
        <w:jc w:val="both"/>
        <w:rPr>
          <w:b/>
          <w:color w:val="000000"/>
          <w:spacing w:val="6"/>
          <w:sz w:val="22"/>
          <w:szCs w:val="22"/>
        </w:rPr>
      </w:pPr>
      <w:bookmarkStart w:id="188" w:name="leg451"/>
      <w:bookmarkEnd w:id="188"/>
      <w:r>
        <w:rPr>
          <w:b/>
          <w:color w:val="000000"/>
          <w:spacing w:val="6"/>
          <w:sz w:val="26"/>
          <w:szCs w:val="26"/>
        </w:rPr>
        <w:t>Legislación, vigor y reseña de su contenido</w:t>
      </w:r>
    </w:p>
    <w:p w14:paraId="43569AA8" w14:textId="77777777" w:rsidR="00EE1145" w:rsidRDefault="00EE1145">
      <w:pPr>
        <w:spacing w:line="280" w:lineRule="atLeast"/>
        <w:ind w:left="1080"/>
        <w:jc w:val="both"/>
        <w:rPr>
          <w:color w:val="000000"/>
          <w:spacing w:val="6"/>
          <w:sz w:val="26"/>
          <w:szCs w:val="26"/>
        </w:rPr>
      </w:pPr>
      <w:hyperlink r:id="rId297" w:anchor="a18t" w:history="1">
        <w:r>
          <w:rPr>
            <w:rStyle w:val="Hipervnculo"/>
            <w:spacing w:val="6"/>
            <w:sz w:val="26"/>
            <w:szCs w:val="26"/>
          </w:rPr>
          <w:t>Art. 18-ter del Decreto-legislativo asturiano 2/2014</w:t>
        </w:r>
      </w:hyperlink>
      <w:r>
        <w:rPr>
          <w:spacing w:val="6"/>
          <w:sz w:val="26"/>
          <w:szCs w:val="26"/>
        </w:rPr>
        <w:t xml:space="preserve"> (introducida por la </w:t>
      </w:r>
      <w:hyperlink r:id="rId298" w:history="1">
        <w:r>
          <w:rPr>
            <w:rStyle w:val="Hipervnculo"/>
            <w:rFonts w:ascii="Times New Roman" w:hAnsi="Times New Roman"/>
            <w:sz w:val="26"/>
            <w:szCs w:val="26"/>
          </w:rPr>
          <w:t>Ley 7/2017</w:t>
        </w:r>
      </w:hyperlink>
      <w:r>
        <w:rPr>
          <w:spacing w:val="6"/>
          <w:sz w:val="26"/>
          <w:szCs w:val="26"/>
        </w:rPr>
        <w:t>, de aplicación desde el 1 de junio de 2017): Reducción propia del 95% en la base imponible del Impuesto sobre Sucesiones por la transmisión de la empresa individual, negocio profesional y participación en entidades del causante</w:t>
      </w:r>
      <w:r>
        <w:rPr>
          <w:color w:val="FF0000"/>
          <w:spacing w:val="6"/>
          <w:sz w:val="26"/>
          <w:szCs w:val="26"/>
        </w:rPr>
        <w:t xml:space="preserve"> </w:t>
      </w:r>
      <w:r>
        <w:rPr>
          <w:color w:val="000000"/>
          <w:spacing w:val="6"/>
          <w:sz w:val="26"/>
          <w:szCs w:val="26"/>
        </w:rPr>
        <w:t>cuando concurran los siguientes requisitos:</w:t>
      </w:r>
    </w:p>
    <w:p w14:paraId="6C77FA4B" w14:textId="77777777" w:rsidR="00EE1145" w:rsidRDefault="00EE1145">
      <w:pPr>
        <w:spacing w:line="280" w:lineRule="atLeast"/>
        <w:ind w:left="1080"/>
        <w:jc w:val="both"/>
        <w:rPr>
          <w:color w:val="000000"/>
          <w:spacing w:val="6"/>
          <w:sz w:val="26"/>
          <w:szCs w:val="26"/>
        </w:rPr>
      </w:pPr>
      <w:r>
        <w:rPr>
          <w:color w:val="000000"/>
          <w:spacing w:val="6"/>
          <w:sz w:val="26"/>
          <w:szCs w:val="26"/>
        </w:rPr>
        <w:t>- Que el causahabiente tenga una vinculación laboral o de prestación de servicios con una antigüedad de 10 años; o que tenga encomendadas tareas de responsabilidad en la gestión o dirección con una antigüedad de 5 años</w:t>
      </w:r>
      <w:r>
        <w:rPr>
          <w:rStyle w:val="Refdenotaalfinal"/>
          <w:b/>
          <w:color w:val="000000"/>
          <w:spacing w:val="6"/>
          <w:sz w:val="28"/>
          <w:szCs w:val="28"/>
        </w:rPr>
        <w:endnoteReference w:id="46"/>
      </w:r>
      <w:r>
        <w:rPr>
          <w:color w:val="000000"/>
          <w:spacing w:val="6"/>
          <w:sz w:val="26"/>
          <w:szCs w:val="26"/>
        </w:rPr>
        <w:t xml:space="preserve">, </w:t>
      </w:r>
    </w:p>
    <w:p w14:paraId="51C9F23A" w14:textId="77777777" w:rsidR="00EE1145" w:rsidRDefault="00EE1145">
      <w:pPr>
        <w:spacing w:line="280" w:lineRule="atLeast"/>
        <w:ind w:left="1080"/>
        <w:jc w:val="both"/>
        <w:rPr>
          <w:color w:val="000000"/>
          <w:spacing w:val="6"/>
          <w:sz w:val="26"/>
          <w:szCs w:val="26"/>
        </w:rPr>
      </w:pPr>
      <w:r>
        <w:rPr>
          <w:color w:val="000000"/>
          <w:spacing w:val="6"/>
          <w:sz w:val="26"/>
          <w:szCs w:val="26"/>
        </w:rPr>
        <w:t>- Que el domicilio fiscal esté en Asturias</w:t>
      </w:r>
      <w:r>
        <w:rPr>
          <w:rFonts w:ascii="CG Times" w:hAnsi="CG Times"/>
          <w:color w:val="000000"/>
          <w:sz w:val="26"/>
          <w:szCs w:val="26"/>
        </w:rPr>
        <w:t>.</w:t>
      </w:r>
    </w:p>
    <w:p w14:paraId="4B5E72F6" w14:textId="77777777" w:rsidR="00EE1145" w:rsidRDefault="00EE1145">
      <w:pPr>
        <w:spacing w:line="280" w:lineRule="atLeast"/>
        <w:ind w:left="1080"/>
        <w:jc w:val="both"/>
        <w:rPr>
          <w:color w:val="000000"/>
          <w:spacing w:val="6"/>
          <w:sz w:val="26"/>
          <w:szCs w:val="26"/>
        </w:rPr>
      </w:pPr>
      <w:r>
        <w:rPr>
          <w:color w:val="000000"/>
          <w:spacing w:val="6"/>
          <w:sz w:val="26"/>
          <w:szCs w:val="26"/>
        </w:rPr>
        <w:t xml:space="preserve">- Que al patrimonio empresarial adquirido le sea de aplicación la exención del </w:t>
      </w:r>
      <w:hyperlink r:id="rId299" w:anchor="a4" w:history="1">
        <w:r>
          <w:rPr>
            <w:rStyle w:val="Hipervnculo"/>
            <w:spacing w:val="6"/>
            <w:sz w:val="26"/>
            <w:szCs w:val="26"/>
          </w:rPr>
          <w:t>artículo 4-8 de la Ley 18/1991, del Impuesto sobre el Patrimonio</w:t>
        </w:r>
      </w:hyperlink>
      <w:r>
        <w:rPr>
          <w:rStyle w:val="Refdenotaalfinal"/>
          <w:b/>
          <w:color w:val="000000"/>
          <w:spacing w:val="6"/>
          <w:sz w:val="28"/>
          <w:szCs w:val="28"/>
        </w:rPr>
        <w:endnoteReference w:id="47"/>
      </w:r>
      <w:r>
        <w:rPr>
          <w:color w:val="000000"/>
          <w:spacing w:val="6"/>
          <w:sz w:val="26"/>
          <w:szCs w:val="26"/>
        </w:rPr>
        <w:t>.</w:t>
      </w:r>
    </w:p>
    <w:p w14:paraId="016D23AF" w14:textId="77777777" w:rsidR="00EE1145" w:rsidRDefault="00EE1145">
      <w:pPr>
        <w:spacing w:line="280" w:lineRule="atLeast"/>
        <w:ind w:left="1080"/>
        <w:jc w:val="both"/>
        <w:rPr>
          <w:rFonts w:ascii="CG Times" w:hAnsi="CG Times"/>
          <w:color w:val="000000"/>
          <w:sz w:val="26"/>
          <w:szCs w:val="26"/>
        </w:rPr>
      </w:pPr>
      <w:r>
        <w:rPr>
          <w:rFonts w:ascii="CG Times" w:hAnsi="CG Times"/>
          <w:color w:val="000000"/>
          <w:sz w:val="26"/>
          <w:szCs w:val="26"/>
        </w:rPr>
        <w:t>- Que la adquisición, domiciliación asturiana y plantilla media se mantenga durante los 5 años siguientes al fallecimiento del causante.</w:t>
      </w:r>
    </w:p>
    <w:p w14:paraId="52FE9BA8" w14:textId="77777777" w:rsidR="009657C4" w:rsidRDefault="009657C4">
      <w:pPr>
        <w:spacing w:line="280" w:lineRule="atLeast"/>
        <w:ind w:left="1080"/>
        <w:jc w:val="both"/>
        <w:rPr>
          <w:rFonts w:ascii="CG Times" w:hAnsi="CG Times"/>
          <w:color w:val="000000"/>
          <w:sz w:val="26"/>
          <w:szCs w:val="26"/>
        </w:rPr>
      </w:pPr>
    </w:p>
    <w:p w14:paraId="0CA666E2" w14:textId="77777777" w:rsidR="009657C4" w:rsidRDefault="009657C4">
      <w:pPr>
        <w:spacing w:line="280" w:lineRule="atLeast"/>
        <w:ind w:left="1080"/>
        <w:jc w:val="both"/>
        <w:rPr>
          <w:rFonts w:ascii="CG Times" w:hAnsi="CG Times"/>
          <w:color w:val="000000"/>
          <w:sz w:val="26"/>
          <w:szCs w:val="26"/>
        </w:rPr>
      </w:pPr>
    </w:p>
    <w:p w14:paraId="66C5ABCA"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89" w:name="tra452"/>
      <w:bookmarkEnd w:id="189"/>
      <w:r>
        <w:rPr>
          <w:b/>
          <w:spacing w:val="6"/>
          <w:sz w:val="26"/>
          <w:szCs w:val="26"/>
        </w:rPr>
        <w:t>Tratamiento notarial</w:t>
      </w:r>
    </w:p>
    <w:p w14:paraId="485C4D5B" w14:textId="77777777" w:rsidR="00EE1145" w:rsidRDefault="00EE1145" w:rsidP="009657C4">
      <w:pPr>
        <w:spacing w:after="60"/>
        <w:ind w:left="1077"/>
        <w:jc w:val="both"/>
        <w:rPr>
          <w:rFonts w:ascii="CG Times" w:hAnsi="CG Times"/>
          <w:sz w:val="26"/>
          <w:szCs w:val="26"/>
        </w:rPr>
      </w:pPr>
      <w:r>
        <w:rPr>
          <w:rFonts w:ascii="CG Times" w:hAnsi="CG Times"/>
          <w:sz w:val="26"/>
          <w:szCs w:val="26"/>
        </w:rPr>
        <w:t>Incluir la anterior cláusula en la Exposición (eligiendo las opciones correspondientes).</w:t>
      </w:r>
    </w:p>
    <w:p w14:paraId="18108842" w14:textId="77777777" w:rsidR="00EE1145" w:rsidRDefault="00EE1145" w:rsidP="00C854F8">
      <w:pPr>
        <w:numPr>
          <w:ilvl w:val="1"/>
          <w:numId w:val="15"/>
        </w:numPr>
        <w:tabs>
          <w:tab w:val="clear" w:pos="792"/>
          <w:tab w:val="num" w:pos="432"/>
        </w:tabs>
        <w:spacing w:line="280" w:lineRule="atLeast"/>
        <w:ind w:left="432"/>
        <w:jc w:val="both"/>
        <w:rPr>
          <w:b/>
          <w:color w:val="000000"/>
          <w:spacing w:val="6"/>
          <w:sz w:val="22"/>
          <w:szCs w:val="22"/>
        </w:rPr>
      </w:pPr>
      <w:bookmarkStart w:id="190" w:name="red46"/>
      <w:bookmarkEnd w:id="190"/>
      <w:r>
        <w:rPr>
          <w:b/>
          <w:color w:val="000000"/>
          <w:spacing w:val="6"/>
          <w:sz w:val="26"/>
          <w:szCs w:val="26"/>
        </w:rPr>
        <w:t>Reducción propia del 95% en la base imponible por bienes destinados a una empresa (desde el 01/06/2017)</w:t>
      </w:r>
    </w:p>
    <w:p w14:paraId="4D480A8B" w14:textId="77777777" w:rsidR="00EE1145" w:rsidRDefault="00EE1145" w:rsidP="00C854F8">
      <w:pPr>
        <w:numPr>
          <w:ilvl w:val="2"/>
          <w:numId w:val="15"/>
        </w:numPr>
        <w:tabs>
          <w:tab w:val="clear" w:pos="1440"/>
          <w:tab w:val="num" w:pos="1080"/>
        </w:tabs>
        <w:spacing w:line="280" w:lineRule="atLeast"/>
        <w:ind w:left="864"/>
        <w:jc w:val="both"/>
        <w:rPr>
          <w:b/>
          <w:color w:val="000000"/>
          <w:spacing w:val="6"/>
          <w:sz w:val="22"/>
          <w:szCs w:val="22"/>
        </w:rPr>
      </w:pPr>
      <w:bookmarkStart w:id="191" w:name="leg461"/>
      <w:bookmarkEnd w:id="191"/>
      <w:r>
        <w:rPr>
          <w:b/>
          <w:color w:val="000000"/>
          <w:spacing w:val="6"/>
          <w:sz w:val="26"/>
          <w:szCs w:val="26"/>
        </w:rPr>
        <w:t>Legislación, vigor y reseña de su contenido</w:t>
      </w:r>
    </w:p>
    <w:p w14:paraId="5FC943AC" w14:textId="77777777" w:rsidR="00EE1145" w:rsidRDefault="00EE1145">
      <w:pPr>
        <w:spacing w:line="280" w:lineRule="atLeast"/>
        <w:ind w:left="1080"/>
        <w:jc w:val="both"/>
        <w:rPr>
          <w:color w:val="000000"/>
          <w:spacing w:val="6"/>
          <w:sz w:val="26"/>
          <w:szCs w:val="26"/>
        </w:rPr>
      </w:pPr>
      <w:hyperlink r:id="rId300" w:anchor="a18t" w:history="1">
        <w:r>
          <w:rPr>
            <w:rStyle w:val="Hipervnculo"/>
            <w:spacing w:val="6"/>
            <w:sz w:val="26"/>
            <w:szCs w:val="26"/>
          </w:rPr>
          <w:t>Art. 18-quáter del Decreto-legislativo asturiano 2/2014</w:t>
        </w:r>
      </w:hyperlink>
      <w:r>
        <w:rPr>
          <w:spacing w:val="6"/>
          <w:sz w:val="26"/>
          <w:szCs w:val="26"/>
        </w:rPr>
        <w:t xml:space="preserve"> (introducida por la </w:t>
      </w:r>
      <w:hyperlink r:id="rId301" w:history="1">
        <w:r>
          <w:rPr>
            <w:rStyle w:val="Hipervnculo"/>
            <w:rFonts w:ascii="Times New Roman" w:hAnsi="Times New Roman"/>
            <w:sz w:val="26"/>
            <w:szCs w:val="26"/>
          </w:rPr>
          <w:t>Ley 7/2017</w:t>
        </w:r>
      </w:hyperlink>
      <w:r>
        <w:rPr>
          <w:spacing w:val="6"/>
          <w:sz w:val="26"/>
          <w:szCs w:val="26"/>
        </w:rPr>
        <w:t>, de aplicación desde el 1 de junio de 2017): Reducción propia del 95% en la base imponible del Impuesto sobre Sucesiones, con el límite único</w:t>
      </w:r>
      <w:r>
        <w:rPr>
          <w:rStyle w:val="Refdenotaalfinal"/>
          <w:b/>
          <w:spacing w:val="6"/>
          <w:sz w:val="28"/>
          <w:szCs w:val="28"/>
        </w:rPr>
        <w:endnoteReference w:id="48"/>
      </w:r>
      <w:r>
        <w:rPr>
          <w:spacing w:val="6"/>
          <w:sz w:val="26"/>
          <w:szCs w:val="26"/>
        </w:rPr>
        <w:t xml:space="preserve"> de 120.000 € (180.000 para minusválidos al 33%) por los bienes que vayan a ser destinados a la constitución, ampliación o adquisición en su totalidad de una empresa o de un negocio profesional, o bien a la participación en su constitución (siempre que el número de socios o partícipes no sea superior a 5)</w:t>
      </w:r>
      <w:r>
        <w:rPr>
          <w:color w:val="FF0000"/>
          <w:spacing w:val="6"/>
          <w:sz w:val="26"/>
          <w:szCs w:val="26"/>
        </w:rPr>
        <w:t xml:space="preserve"> </w:t>
      </w:r>
      <w:r>
        <w:rPr>
          <w:color w:val="000000"/>
          <w:spacing w:val="6"/>
          <w:sz w:val="26"/>
          <w:szCs w:val="26"/>
        </w:rPr>
        <w:t>cuando concurran los siguientes requisitos:</w:t>
      </w:r>
    </w:p>
    <w:p w14:paraId="4735FAC5" w14:textId="77777777" w:rsidR="00EE1145" w:rsidRDefault="00EE1145">
      <w:pPr>
        <w:spacing w:line="280" w:lineRule="atLeast"/>
        <w:ind w:left="1080"/>
        <w:jc w:val="both"/>
        <w:rPr>
          <w:rFonts w:ascii="CG Times" w:hAnsi="CG Times"/>
          <w:color w:val="000000"/>
          <w:sz w:val="26"/>
          <w:szCs w:val="26"/>
        </w:rPr>
      </w:pPr>
      <w:r>
        <w:rPr>
          <w:color w:val="000000"/>
          <w:spacing w:val="6"/>
          <w:sz w:val="26"/>
          <w:szCs w:val="26"/>
        </w:rPr>
        <w:t>- Que el domicilio fiscal esté en Asturias</w:t>
      </w:r>
      <w:r>
        <w:rPr>
          <w:rFonts w:ascii="CG Times" w:hAnsi="CG Times"/>
          <w:color w:val="000000"/>
          <w:sz w:val="26"/>
          <w:szCs w:val="26"/>
        </w:rPr>
        <w:t>.</w:t>
      </w:r>
    </w:p>
    <w:p w14:paraId="7CE236DF" w14:textId="77777777" w:rsidR="00EE1145" w:rsidRDefault="00EE1145">
      <w:pPr>
        <w:spacing w:line="280" w:lineRule="atLeast"/>
        <w:ind w:left="1080"/>
        <w:jc w:val="both"/>
        <w:rPr>
          <w:rFonts w:ascii="CG Times" w:hAnsi="CG Times"/>
          <w:color w:val="000000"/>
          <w:sz w:val="26"/>
          <w:szCs w:val="26"/>
        </w:rPr>
      </w:pPr>
      <w:r>
        <w:rPr>
          <w:rFonts w:ascii="CG Times" w:hAnsi="CG Times"/>
          <w:color w:val="000000"/>
          <w:sz w:val="26"/>
          <w:szCs w:val="26"/>
        </w:rPr>
        <w:t xml:space="preserve">- Que la aceptación de la transmisión hereditaria se formalice en escritura pública dentro del plazo de autoliquidación del impuesto, en la que se exprese la voluntad de que, si es dinero, se destinará a la constitución, ampliación o adquisición de una empresa o de un negocio </w:t>
      </w:r>
      <w:r>
        <w:rPr>
          <w:rFonts w:ascii="CG Times" w:hAnsi="CG Times"/>
          <w:color w:val="000000"/>
          <w:sz w:val="26"/>
          <w:szCs w:val="26"/>
        </w:rPr>
        <w:lastRenderedPageBreak/>
        <w:t>profesional, y, si es un bien de otra naturaleza, se afectará a esa actividad.</w:t>
      </w:r>
    </w:p>
    <w:p w14:paraId="0D600B04" w14:textId="77777777" w:rsidR="00EE1145" w:rsidRDefault="00EE1145">
      <w:pPr>
        <w:spacing w:line="280" w:lineRule="atLeast"/>
        <w:ind w:left="1080"/>
        <w:jc w:val="both"/>
        <w:rPr>
          <w:rFonts w:ascii="CG Times" w:hAnsi="CG Times"/>
          <w:color w:val="000000"/>
          <w:sz w:val="26"/>
          <w:szCs w:val="26"/>
        </w:rPr>
      </w:pPr>
      <w:r>
        <w:rPr>
          <w:rFonts w:ascii="CG Times" w:hAnsi="CG Times"/>
          <w:color w:val="000000"/>
          <w:sz w:val="26"/>
          <w:szCs w:val="26"/>
        </w:rPr>
        <w:t>- Que la constitución, ampliación o adquisición de la empresa o negocio profesional se lleven a cabo en el plazo de 6 meses a contar desde la fecha de formalización de la aceptación de la herencia o legado. En el caso de que existan varias escrituras de aceptación, el plazo se computará desde la fecha de la primera.</w:t>
      </w:r>
    </w:p>
    <w:p w14:paraId="389351A0" w14:textId="77777777" w:rsidR="00EE1145" w:rsidRDefault="00EE1145">
      <w:pPr>
        <w:spacing w:line="280" w:lineRule="atLeast"/>
        <w:ind w:left="1080"/>
        <w:jc w:val="both"/>
        <w:rPr>
          <w:color w:val="000000"/>
          <w:spacing w:val="6"/>
          <w:sz w:val="26"/>
          <w:szCs w:val="26"/>
        </w:rPr>
      </w:pPr>
      <w:r>
        <w:rPr>
          <w:color w:val="000000"/>
          <w:spacing w:val="6"/>
          <w:sz w:val="26"/>
          <w:szCs w:val="26"/>
        </w:rPr>
        <w:t>- Que se contrate, en régimen laboral, a jornada completa y por 1 año como mínimo, al menos a 1 trabajador distinto del contribuyente al que se aplique la reducción</w:t>
      </w:r>
      <w:r>
        <w:rPr>
          <w:rStyle w:val="Refdenotaalfinal"/>
          <w:b/>
          <w:color w:val="000000"/>
          <w:spacing w:val="6"/>
          <w:sz w:val="28"/>
          <w:szCs w:val="28"/>
        </w:rPr>
        <w:endnoteReference w:id="49"/>
      </w:r>
      <w:r>
        <w:rPr>
          <w:color w:val="000000"/>
          <w:spacing w:val="6"/>
          <w:sz w:val="26"/>
          <w:szCs w:val="26"/>
        </w:rPr>
        <w:t>.</w:t>
      </w:r>
    </w:p>
    <w:p w14:paraId="06AF314F" w14:textId="77777777" w:rsidR="00EE1145" w:rsidRDefault="00EE1145">
      <w:pPr>
        <w:spacing w:line="280" w:lineRule="atLeast"/>
        <w:ind w:left="1080"/>
        <w:jc w:val="both"/>
        <w:rPr>
          <w:rFonts w:ascii="CG Times" w:hAnsi="CG Times"/>
          <w:color w:val="000000"/>
          <w:sz w:val="26"/>
          <w:szCs w:val="26"/>
        </w:rPr>
      </w:pPr>
      <w:r>
        <w:rPr>
          <w:rFonts w:ascii="CG Times" w:hAnsi="CG Times"/>
          <w:color w:val="000000"/>
          <w:sz w:val="26"/>
          <w:szCs w:val="26"/>
        </w:rPr>
        <w:t>- Que la domiciliación asturiana y plantilla media en Asturias se mantenga durante los 5 años siguientes al fallecimiento del causante.</w:t>
      </w:r>
    </w:p>
    <w:p w14:paraId="0A03506F" w14:textId="77777777" w:rsidR="00EE1145" w:rsidRDefault="00EE1145">
      <w:pPr>
        <w:spacing w:line="280" w:lineRule="atLeast"/>
        <w:ind w:left="1080"/>
        <w:jc w:val="both"/>
        <w:rPr>
          <w:rFonts w:ascii="CG Times" w:hAnsi="CG Times"/>
          <w:color w:val="000000"/>
          <w:sz w:val="26"/>
          <w:szCs w:val="26"/>
        </w:rPr>
      </w:pPr>
      <w:r>
        <w:rPr>
          <w:rFonts w:ascii="CG Times" w:hAnsi="CG Times"/>
          <w:color w:val="000000"/>
          <w:sz w:val="26"/>
          <w:szCs w:val="26"/>
        </w:rPr>
        <w:t xml:space="preserve">- </w:t>
      </w:r>
      <w:r>
        <w:rPr>
          <w:rFonts w:ascii="CG Times" w:hAnsi="CG Times" w:cs="Lucida Sans Unicode"/>
          <w:color w:val="222222"/>
          <w:sz w:val="26"/>
          <w:szCs w:val="26"/>
        </w:rPr>
        <w:t>Que el adquirente esté o cause alta en el censo de empresarios, profesionales y retenedores previsto en la normativa estatal y que su patrimonio no sea superior a 402.678,11 euros, a la fecha de aceptación de la herencia o legado.</w:t>
      </w:r>
    </w:p>
    <w:p w14:paraId="3C3176A9"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92" w:name="tra462"/>
      <w:bookmarkEnd w:id="192"/>
      <w:r>
        <w:rPr>
          <w:b/>
          <w:spacing w:val="6"/>
          <w:sz w:val="26"/>
          <w:szCs w:val="26"/>
        </w:rPr>
        <w:t>Tratamiento notarial</w:t>
      </w:r>
    </w:p>
    <w:p w14:paraId="50A1FE0C" w14:textId="77777777" w:rsidR="00EE1145" w:rsidRDefault="00EE1145" w:rsidP="009657C4">
      <w:pPr>
        <w:spacing w:after="60"/>
        <w:ind w:left="1077"/>
        <w:jc w:val="both"/>
        <w:rPr>
          <w:rFonts w:ascii="CG Times" w:hAnsi="CG Times"/>
          <w:sz w:val="26"/>
          <w:szCs w:val="26"/>
        </w:rPr>
      </w:pPr>
      <w:r>
        <w:rPr>
          <w:rFonts w:ascii="CG Times" w:hAnsi="CG Times"/>
          <w:sz w:val="26"/>
          <w:szCs w:val="26"/>
        </w:rPr>
        <w:t>Incluir la anterior cláusula en la Exposición (eligiendo las opciones correspondientes).</w:t>
      </w:r>
    </w:p>
    <w:p w14:paraId="719BE53A" w14:textId="77777777" w:rsidR="009657C4" w:rsidRDefault="009657C4" w:rsidP="009657C4">
      <w:pPr>
        <w:spacing w:after="60"/>
        <w:ind w:left="1077"/>
        <w:jc w:val="both"/>
        <w:rPr>
          <w:rFonts w:ascii="CG Times" w:hAnsi="CG Times"/>
          <w:sz w:val="26"/>
          <w:szCs w:val="26"/>
        </w:rPr>
      </w:pPr>
    </w:p>
    <w:p w14:paraId="04B5DE3B" w14:textId="77777777" w:rsidR="009657C4" w:rsidRDefault="009657C4" w:rsidP="009657C4">
      <w:pPr>
        <w:spacing w:after="60"/>
        <w:ind w:left="1077"/>
        <w:jc w:val="both"/>
        <w:rPr>
          <w:rFonts w:ascii="CG Times" w:hAnsi="CG Times"/>
          <w:sz w:val="26"/>
          <w:szCs w:val="26"/>
        </w:rPr>
      </w:pPr>
    </w:p>
    <w:p w14:paraId="501B3029" w14:textId="77777777" w:rsidR="009657C4" w:rsidRDefault="009657C4" w:rsidP="009657C4">
      <w:pPr>
        <w:spacing w:after="60"/>
        <w:ind w:left="1077"/>
        <w:jc w:val="both"/>
        <w:rPr>
          <w:rFonts w:ascii="CG Times" w:hAnsi="CG Times"/>
          <w:sz w:val="26"/>
          <w:szCs w:val="26"/>
        </w:rPr>
      </w:pPr>
    </w:p>
    <w:p w14:paraId="3E136D9C" w14:textId="77777777" w:rsidR="00EE1145" w:rsidRDefault="00EE1145" w:rsidP="00C854F8">
      <w:pPr>
        <w:numPr>
          <w:ilvl w:val="1"/>
          <w:numId w:val="15"/>
        </w:numPr>
        <w:tabs>
          <w:tab w:val="clear" w:pos="792"/>
          <w:tab w:val="num" w:pos="432"/>
        </w:tabs>
        <w:spacing w:line="280" w:lineRule="atLeast"/>
        <w:ind w:left="432"/>
        <w:jc w:val="both"/>
        <w:rPr>
          <w:b/>
          <w:spacing w:val="6"/>
          <w:sz w:val="22"/>
          <w:szCs w:val="22"/>
        </w:rPr>
      </w:pPr>
      <w:bookmarkStart w:id="193" w:name="D8"/>
      <w:bookmarkEnd w:id="193"/>
      <w:r>
        <w:rPr>
          <w:b/>
          <w:spacing w:val="6"/>
          <w:sz w:val="26"/>
          <w:szCs w:val="26"/>
        </w:rPr>
        <w:t>Cuota íntegra</w:t>
      </w:r>
    </w:p>
    <w:p w14:paraId="0A60D5EA"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94" w:name="l481"/>
      <w:bookmarkStart w:id="195" w:name="Grupo481"/>
      <w:bookmarkEnd w:id="194"/>
      <w:bookmarkEnd w:id="195"/>
      <w:r>
        <w:rPr>
          <w:rFonts w:ascii="Times New Roman" w:hAnsi="Times New Roman"/>
          <w:b/>
          <w:spacing w:val="6"/>
          <w:sz w:val="26"/>
          <w:szCs w:val="26"/>
        </w:rPr>
        <w:t>Grupos I y II (desde el 15/07/2010 hasta el 31/12/2016) y Grupos III y IV (desde el 15/07/2010)</w:t>
      </w:r>
    </w:p>
    <w:p w14:paraId="3FFB1620" w14:textId="77777777" w:rsidR="00EE1145" w:rsidRDefault="00EE1145">
      <w:pPr>
        <w:spacing w:line="280" w:lineRule="atLeast"/>
        <w:ind w:left="864"/>
        <w:jc w:val="both"/>
        <w:rPr>
          <w:color w:val="000000"/>
          <w:spacing w:val="6"/>
          <w:sz w:val="26"/>
          <w:szCs w:val="26"/>
        </w:rPr>
      </w:pPr>
      <w:r>
        <w:rPr>
          <w:color w:val="000000"/>
          <w:spacing w:val="6"/>
          <w:sz w:val="26"/>
          <w:szCs w:val="26"/>
        </w:rPr>
        <w:t xml:space="preserve">Se aplica la tarifa general del </w:t>
      </w:r>
      <w:hyperlink r:id="rId302" w:anchor="a21" w:history="1">
        <w:r>
          <w:rPr>
            <w:rStyle w:val="Hipervnculo"/>
            <w:spacing w:val="6"/>
            <w:sz w:val="26"/>
            <w:szCs w:val="26"/>
          </w:rPr>
          <w:t>art. 21-1 del Decreto-legislativo asturiano 2/2014</w:t>
        </w:r>
      </w:hyperlink>
      <w:r>
        <w:rPr>
          <w:color w:val="000000"/>
          <w:spacing w:val="6"/>
          <w:sz w:val="26"/>
          <w:szCs w:val="26"/>
        </w:rPr>
        <w:t xml:space="preserve"> </w:t>
      </w:r>
      <w:r>
        <w:rPr>
          <w:spacing w:val="6"/>
          <w:sz w:val="26"/>
          <w:szCs w:val="26"/>
        </w:rPr>
        <w:t xml:space="preserve">(que sustituye a la estatal desde la </w:t>
      </w:r>
      <w:hyperlink r:id="rId303" w:history="1">
        <w:r>
          <w:rPr>
            <w:rStyle w:val="Hipervnculo"/>
            <w:rFonts w:ascii="Times New Roman" w:hAnsi="Times New Roman"/>
            <w:sz w:val="26"/>
            <w:szCs w:val="26"/>
          </w:rPr>
          <w:t>Ley 5/2010</w:t>
        </w:r>
      </w:hyperlink>
      <w:r>
        <w:rPr>
          <w:bCs/>
          <w:color w:val="000000"/>
          <w:spacing w:val="6"/>
          <w:sz w:val="26"/>
          <w:szCs w:val="26"/>
          <w:lang w:val="es-ES"/>
        </w:rPr>
        <w:t>,</w:t>
      </w:r>
      <w:r>
        <w:rPr>
          <w:rFonts w:ascii="Times New Roman" w:hAnsi="Times New Roman"/>
          <w:sz w:val="26"/>
          <w:szCs w:val="26"/>
        </w:rPr>
        <w:t xml:space="preserve"> </w:t>
      </w:r>
      <w:r>
        <w:rPr>
          <w:spacing w:val="6"/>
          <w:sz w:val="26"/>
          <w:szCs w:val="26"/>
        </w:rPr>
        <w:t xml:space="preserve">en vigor desde el 15 de julio de 2010, si bien para los </w:t>
      </w:r>
      <w:hyperlink r:id="rId304" w:anchor="a20" w:history="1">
        <w:r>
          <w:rPr>
            <w:rStyle w:val="Hipervnculo"/>
            <w:rFonts w:ascii="Times New Roman" w:hAnsi="Times New Roman"/>
            <w:sz w:val="26"/>
            <w:szCs w:val="26"/>
            <w:lang w:val="es-ES"/>
          </w:rPr>
          <w:t>Grupos I y II</w:t>
        </w:r>
      </w:hyperlink>
      <w:r>
        <w:rPr>
          <w:rFonts w:ascii="Times New Roman" w:hAnsi="Times New Roman"/>
          <w:sz w:val="26"/>
          <w:szCs w:val="26"/>
          <w:lang w:val="es-ES"/>
        </w:rPr>
        <w:t xml:space="preserve"> ha sido sustituida por la del </w:t>
      </w:r>
      <w:hyperlink r:id="rId305" w:anchor="a21" w:history="1">
        <w:r>
          <w:rPr>
            <w:rStyle w:val="Hipervnculo"/>
            <w:spacing w:val="6"/>
            <w:sz w:val="26"/>
            <w:szCs w:val="26"/>
          </w:rPr>
          <w:t>art. 21-2</w:t>
        </w:r>
      </w:hyperlink>
      <w:r>
        <w:rPr>
          <w:color w:val="000000"/>
          <w:spacing w:val="6"/>
          <w:sz w:val="26"/>
          <w:szCs w:val="26"/>
        </w:rPr>
        <w:t xml:space="preserve"> desde el 1 de enero de 2017):</w:t>
      </w:r>
    </w:p>
    <w:p w14:paraId="1E8C923C" w14:textId="77777777" w:rsidR="00EE1145" w:rsidRDefault="00EE1145">
      <w:pPr>
        <w:spacing w:line="280" w:lineRule="atLeast"/>
        <w:ind w:left="792"/>
        <w:jc w:val="both"/>
        <w:rPr>
          <w:color w:val="000000"/>
          <w:spacing w:val="6"/>
          <w:sz w:val="26"/>
          <w:szCs w:val="26"/>
        </w:rPr>
      </w:pPr>
    </w:p>
    <w:p w14:paraId="11D2BBA7" w14:textId="77777777" w:rsidR="00EE1145" w:rsidRDefault="00EE1145">
      <w:pPr>
        <w:spacing w:line="280" w:lineRule="atLeast"/>
        <w:ind w:left="792"/>
        <w:jc w:val="both"/>
        <w:rPr>
          <w:color w:val="000000"/>
          <w:spacing w:val="6"/>
          <w:sz w:val="26"/>
          <w:szCs w:val="26"/>
        </w:rPr>
      </w:pPr>
    </w:p>
    <w:tbl>
      <w:tblPr>
        <w:tblW w:w="7087" w:type="dxa"/>
        <w:tblCellSpacing w:w="0" w:type="dxa"/>
        <w:tblInd w:w="1478"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1835"/>
        <w:gridCol w:w="1567"/>
        <w:gridCol w:w="2268"/>
        <w:gridCol w:w="1417"/>
      </w:tblGrid>
      <w:tr w:rsidR="00EE1145" w14:paraId="188E0B58"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center"/>
          </w:tcPr>
          <w:p w14:paraId="5C759D74"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Base liquidable €</w:t>
            </w:r>
          </w:p>
        </w:tc>
        <w:tc>
          <w:tcPr>
            <w:tcW w:w="1567" w:type="dxa"/>
            <w:tcBorders>
              <w:top w:val="outset" w:sz="6" w:space="0" w:color="auto"/>
              <w:left w:val="outset" w:sz="6" w:space="0" w:color="auto"/>
              <w:bottom w:val="outset" w:sz="6" w:space="0" w:color="auto"/>
              <w:right w:val="outset" w:sz="6" w:space="0" w:color="auto"/>
            </w:tcBorders>
            <w:vAlign w:val="center"/>
          </w:tcPr>
          <w:p w14:paraId="2726564A"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Cuota íntegra €</w:t>
            </w:r>
          </w:p>
        </w:tc>
        <w:tc>
          <w:tcPr>
            <w:tcW w:w="2268" w:type="dxa"/>
            <w:tcBorders>
              <w:top w:val="outset" w:sz="6" w:space="0" w:color="auto"/>
              <w:left w:val="outset" w:sz="6" w:space="0" w:color="auto"/>
              <w:bottom w:val="outset" w:sz="6" w:space="0" w:color="auto"/>
              <w:right w:val="outset" w:sz="6" w:space="0" w:color="auto"/>
            </w:tcBorders>
            <w:vAlign w:val="center"/>
          </w:tcPr>
          <w:p w14:paraId="04C924FC"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Resto base liquidable €</w:t>
            </w:r>
          </w:p>
        </w:tc>
        <w:tc>
          <w:tcPr>
            <w:tcW w:w="1417" w:type="dxa"/>
            <w:tcBorders>
              <w:top w:val="outset" w:sz="6" w:space="0" w:color="auto"/>
              <w:left w:val="outset" w:sz="6" w:space="0" w:color="auto"/>
              <w:bottom w:val="outset" w:sz="6" w:space="0" w:color="auto"/>
              <w:right w:val="outset" w:sz="6" w:space="0" w:color="auto"/>
            </w:tcBorders>
            <w:vAlign w:val="center"/>
          </w:tcPr>
          <w:p w14:paraId="339C91B1"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Tipo aplicable</w:t>
            </w:r>
          </w:p>
        </w:tc>
      </w:tr>
      <w:tr w:rsidR="00EE1145" w14:paraId="33664995"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1C55F2DB"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0,00</w:t>
            </w:r>
          </w:p>
        </w:tc>
        <w:tc>
          <w:tcPr>
            <w:tcW w:w="1567" w:type="dxa"/>
            <w:tcBorders>
              <w:top w:val="outset" w:sz="6" w:space="0" w:color="auto"/>
              <w:left w:val="outset" w:sz="6" w:space="0" w:color="auto"/>
              <w:bottom w:val="outset" w:sz="6" w:space="0" w:color="auto"/>
              <w:right w:val="outset" w:sz="6" w:space="0" w:color="auto"/>
            </w:tcBorders>
            <w:vAlign w:val="bottom"/>
          </w:tcPr>
          <w:p w14:paraId="285284C4"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0,00</w:t>
            </w:r>
          </w:p>
        </w:tc>
        <w:tc>
          <w:tcPr>
            <w:tcW w:w="2268" w:type="dxa"/>
            <w:tcBorders>
              <w:top w:val="outset" w:sz="6" w:space="0" w:color="auto"/>
              <w:left w:val="outset" w:sz="6" w:space="0" w:color="auto"/>
              <w:bottom w:val="outset" w:sz="6" w:space="0" w:color="auto"/>
              <w:right w:val="outset" w:sz="6" w:space="0" w:color="auto"/>
            </w:tcBorders>
            <w:vAlign w:val="bottom"/>
          </w:tcPr>
          <w:p w14:paraId="00BC1871"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4B02543B"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7,65%</w:t>
            </w:r>
          </w:p>
        </w:tc>
      </w:tr>
      <w:tr w:rsidR="00EE1145" w14:paraId="0656BACF"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76219884"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567" w:type="dxa"/>
            <w:tcBorders>
              <w:top w:val="outset" w:sz="6" w:space="0" w:color="auto"/>
              <w:left w:val="outset" w:sz="6" w:space="0" w:color="auto"/>
              <w:bottom w:val="outset" w:sz="6" w:space="0" w:color="auto"/>
              <w:right w:val="outset" w:sz="6" w:space="0" w:color="auto"/>
            </w:tcBorders>
            <w:vAlign w:val="bottom"/>
          </w:tcPr>
          <w:p w14:paraId="01E4F36C"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612</w:t>
            </w:r>
          </w:p>
        </w:tc>
        <w:tc>
          <w:tcPr>
            <w:tcW w:w="2268" w:type="dxa"/>
            <w:tcBorders>
              <w:top w:val="outset" w:sz="6" w:space="0" w:color="auto"/>
              <w:left w:val="outset" w:sz="6" w:space="0" w:color="auto"/>
              <w:bottom w:val="outset" w:sz="6" w:space="0" w:color="auto"/>
              <w:right w:val="outset" w:sz="6" w:space="0" w:color="auto"/>
            </w:tcBorders>
            <w:vAlign w:val="bottom"/>
          </w:tcPr>
          <w:p w14:paraId="475B2643"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0ED7C2BE"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8,50%</w:t>
            </w:r>
          </w:p>
        </w:tc>
      </w:tr>
      <w:tr w:rsidR="00EE1145" w14:paraId="2D1AED27"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48494B20"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16.000</w:t>
            </w:r>
          </w:p>
        </w:tc>
        <w:tc>
          <w:tcPr>
            <w:tcW w:w="1567" w:type="dxa"/>
            <w:tcBorders>
              <w:top w:val="outset" w:sz="6" w:space="0" w:color="auto"/>
              <w:left w:val="outset" w:sz="6" w:space="0" w:color="auto"/>
              <w:bottom w:val="outset" w:sz="6" w:space="0" w:color="auto"/>
              <w:right w:val="outset" w:sz="6" w:space="0" w:color="auto"/>
            </w:tcBorders>
            <w:vAlign w:val="bottom"/>
          </w:tcPr>
          <w:p w14:paraId="3ED3DFBE"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1.292</w:t>
            </w:r>
          </w:p>
        </w:tc>
        <w:tc>
          <w:tcPr>
            <w:tcW w:w="2268" w:type="dxa"/>
            <w:tcBorders>
              <w:top w:val="outset" w:sz="6" w:space="0" w:color="auto"/>
              <w:left w:val="outset" w:sz="6" w:space="0" w:color="auto"/>
              <w:bottom w:val="outset" w:sz="6" w:space="0" w:color="auto"/>
              <w:right w:val="outset" w:sz="6" w:space="0" w:color="auto"/>
            </w:tcBorders>
            <w:vAlign w:val="bottom"/>
          </w:tcPr>
          <w:p w14:paraId="613B630C"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3E53BA32"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9,35%</w:t>
            </w:r>
          </w:p>
        </w:tc>
      </w:tr>
      <w:tr w:rsidR="00EE1145" w14:paraId="7FDAB7E3"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7D08B49A"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24.000</w:t>
            </w:r>
          </w:p>
        </w:tc>
        <w:tc>
          <w:tcPr>
            <w:tcW w:w="1567" w:type="dxa"/>
            <w:tcBorders>
              <w:top w:val="outset" w:sz="6" w:space="0" w:color="auto"/>
              <w:left w:val="outset" w:sz="6" w:space="0" w:color="auto"/>
              <w:bottom w:val="outset" w:sz="6" w:space="0" w:color="auto"/>
              <w:right w:val="outset" w:sz="6" w:space="0" w:color="auto"/>
            </w:tcBorders>
            <w:vAlign w:val="bottom"/>
          </w:tcPr>
          <w:p w14:paraId="52056411"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2.040</w:t>
            </w:r>
          </w:p>
        </w:tc>
        <w:tc>
          <w:tcPr>
            <w:tcW w:w="2268" w:type="dxa"/>
            <w:tcBorders>
              <w:top w:val="outset" w:sz="6" w:space="0" w:color="auto"/>
              <w:left w:val="outset" w:sz="6" w:space="0" w:color="auto"/>
              <w:bottom w:val="outset" w:sz="6" w:space="0" w:color="auto"/>
              <w:right w:val="outset" w:sz="6" w:space="0" w:color="auto"/>
            </w:tcBorders>
            <w:vAlign w:val="bottom"/>
          </w:tcPr>
          <w:p w14:paraId="33DCBE36"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3679F5E2"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10,20%</w:t>
            </w:r>
          </w:p>
        </w:tc>
      </w:tr>
      <w:tr w:rsidR="00EE1145" w14:paraId="49E07F6D"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04CD890A"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32.000</w:t>
            </w:r>
          </w:p>
        </w:tc>
        <w:tc>
          <w:tcPr>
            <w:tcW w:w="1567" w:type="dxa"/>
            <w:tcBorders>
              <w:top w:val="outset" w:sz="6" w:space="0" w:color="auto"/>
              <w:left w:val="outset" w:sz="6" w:space="0" w:color="auto"/>
              <w:bottom w:val="outset" w:sz="6" w:space="0" w:color="auto"/>
              <w:right w:val="outset" w:sz="6" w:space="0" w:color="auto"/>
            </w:tcBorders>
            <w:vAlign w:val="bottom"/>
          </w:tcPr>
          <w:p w14:paraId="5C0EE4A0"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2.856</w:t>
            </w:r>
          </w:p>
        </w:tc>
        <w:tc>
          <w:tcPr>
            <w:tcW w:w="2268" w:type="dxa"/>
            <w:tcBorders>
              <w:top w:val="outset" w:sz="6" w:space="0" w:color="auto"/>
              <w:left w:val="outset" w:sz="6" w:space="0" w:color="auto"/>
              <w:bottom w:val="outset" w:sz="6" w:space="0" w:color="auto"/>
              <w:right w:val="outset" w:sz="6" w:space="0" w:color="auto"/>
            </w:tcBorders>
            <w:vAlign w:val="bottom"/>
          </w:tcPr>
          <w:p w14:paraId="4265BD78"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54227B49"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11,05%</w:t>
            </w:r>
          </w:p>
        </w:tc>
      </w:tr>
      <w:tr w:rsidR="00EE1145" w14:paraId="5C2F0A99"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4485659E"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40.000</w:t>
            </w:r>
          </w:p>
        </w:tc>
        <w:tc>
          <w:tcPr>
            <w:tcW w:w="1567" w:type="dxa"/>
            <w:tcBorders>
              <w:top w:val="outset" w:sz="6" w:space="0" w:color="auto"/>
              <w:left w:val="outset" w:sz="6" w:space="0" w:color="auto"/>
              <w:bottom w:val="outset" w:sz="6" w:space="0" w:color="auto"/>
              <w:right w:val="outset" w:sz="6" w:space="0" w:color="auto"/>
            </w:tcBorders>
            <w:vAlign w:val="bottom"/>
          </w:tcPr>
          <w:p w14:paraId="4C984340"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3.740</w:t>
            </w:r>
          </w:p>
        </w:tc>
        <w:tc>
          <w:tcPr>
            <w:tcW w:w="2268" w:type="dxa"/>
            <w:tcBorders>
              <w:top w:val="outset" w:sz="6" w:space="0" w:color="auto"/>
              <w:left w:val="outset" w:sz="6" w:space="0" w:color="auto"/>
              <w:bottom w:val="outset" w:sz="6" w:space="0" w:color="auto"/>
              <w:right w:val="outset" w:sz="6" w:space="0" w:color="auto"/>
            </w:tcBorders>
            <w:vAlign w:val="bottom"/>
          </w:tcPr>
          <w:p w14:paraId="0858DAD3"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53CF8BB2"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11,90%</w:t>
            </w:r>
          </w:p>
        </w:tc>
      </w:tr>
      <w:tr w:rsidR="00EE1145" w14:paraId="76C68F11"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13B66EBE"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48.000</w:t>
            </w:r>
          </w:p>
        </w:tc>
        <w:tc>
          <w:tcPr>
            <w:tcW w:w="1567" w:type="dxa"/>
            <w:tcBorders>
              <w:top w:val="outset" w:sz="6" w:space="0" w:color="auto"/>
              <w:left w:val="outset" w:sz="6" w:space="0" w:color="auto"/>
              <w:bottom w:val="outset" w:sz="6" w:space="0" w:color="auto"/>
              <w:right w:val="outset" w:sz="6" w:space="0" w:color="auto"/>
            </w:tcBorders>
            <w:vAlign w:val="bottom"/>
          </w:tcPr>
          <w:p w14:paraId="58C33CB9"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4.692</w:t>
            </w:r>
          </w:p>
        </w:tc>
        <w:tc>
          <w:tcPr>
            <w:tcW w:w="2268" w:type="dxa"/>
            <w:tcBorders>
              <w:top w:val="outset" w:sz="6" w:space="0" w:color="auto"/>
              <w:left w:val="outset" w:sz="6" w:space="0" w:color="auto"/>
              <w:bottom w:val="outset" w:sz="6" w:space="0" w:color="auto"/>
              <w:right w:val="outset" w:sz="6" w:space="0" w:color="auto"/>
            </w:tcBorders>
            <w:vAlign w:val="bottom"/>
          </w:tcPr>
          <w:p w14:paraId="54FD6CE8"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1947E91C"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12,75%</w:t>
            </w:r>
          </w:p>
        </w:tc>
      </w:tr>
      <w:tr w:rsidR="00EE1145" w14:paraId="36ADF45E"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3A6B6C59"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56.000</w:t>
            </w:r>
          </w:p>
        </w:tc>
        <w:tc>
          <w:tcPr>
            <w:tcW w:w="1567" w:type="dxa"/>
            <w:tcBorders>
              <w:top w:val="outset" w:sz="6" w:space="0" w:color="auto"/>
              <w:left w:val="outset" w:sz="6" w:space="0" w:color="auto"/>
              <w:bottom w:val="outset" w:sz="6" w:space="0" w:color="auto"/>
              <w:right w:val="outset" w:sz="6" w:space="0" w:color="auto"/>
            </w:tcBorders>
            <w:vAlign w:val="bottom"/>
          </w:tcPr>
          <w:p w14:paraId="46285ED5"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5.712</w:t>
            </w:r>
          </w:p>
        </w:tc>
        <w:tc>
          <w:tcPr>
            <w:tcW w:w="2268" w:type="dxa"/>
            <w:tcBorders>
              <w:top w:val="outset" w:sz="6" w:space="0" w:color="auto"/>
              <w:left w:val="outset" w:sz="6" w:space="0" w:color="auto"/>
              <w:bottom w:val="outset" w:sz="6" w:space="0" w:color="auto"/>
              <w:right w:val="outset" w:sz="6" w:space="0" w:color="auto"/>
            </w:tcBorders>
            <w:vAlign w:val="bottom"/>
          </w:tcPr>
          <w:p w14:paraId="15CAFCAE"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274C56E2"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13,60%</w:t>
            </w:r>
          </w:p>
        </w:tc>
      </w:tr>
      <w:tr w:rsidR="00EE1145" w14:paraId="27702416"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4A8492F0"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64.000</w:t>
            </w:r>
          </w:p>
        </w:tc>
        <w:tc>
          <w:tcPr>
            <w:tcW w:w="1567" w:type="dxa"/>
            <w:tcBorders>
              <w:top w:val="outset" w:sz="6" w:space="0" w:color="auto"/>
              <w:left w:val="outset" w:sz="6" w:space="0" w:color="auto"/>
              <w:bottom w:val="outset" w:sz="6" w:space="0" w:color="auto"/>
              <w:right w:val="outset" w:sz="6" w:space="0" w:color="auto"/>
            </w:tcBorders>
            <w:vAlign w:val="bottom"/>
          </w:tcPr>
          <w:p w14:paraId="5B05E464"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6.800</w:t>
            </w:r>
          </w:p>
        </w:tc>
        <w:tc>
          <w:tcPr>
            <w:tcW w:w="2268" w:type="dxa"/>
            <w:tcBorders>
              <w:top w:val="outset" w:sz="6" w:space="0" w:color="auto"/>
              <w:left w:val="outset" w:sz="6" w:space="0" w:color="auto"/>
              <w:bottom w:val="outset" w:sz="6" w:space="0" w:color="auto"/>
              <w:right w:val="outset" w:sz="6" w:space="0" w:color="auto"/>
            </w:tcBorders>
            <w:vAlign w:val="bottom"/>
          </w:tcPr>
          <w:p w14:paraId="0C17BD0D"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05BC64B5"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14,45%</w:t>
            </w:r>
          </w:p>
        </w:tc>
      </w:tr>
      <w:tr w:rsidR="00EE1145" w14:paraId="0158604D"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1425198A"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72.000</w:t>
            </w:r>
          </w:p>
        </w:tc>
        <w:tc>
          <w:tcPr>
            <w:tcW w:w="1567" w:type="dxa"/>
            <w:tcBorders>
              <w:top w:val="outset" w:sz="6" w:space="0" w:color="auto"/>
              <w:left w:val="outset" w:sz="6" w:space="0" w:color="auto"/>
              <w:bottom w:val="outset" w:sz="6" w:space="0" w:color="auto"/>
              <w:right w:val="outset" w:sz="6" w:space="0" w:color="auto"/>
            </w:tcBorders>
            <w:vAlign w:val="bottom"/>
          </w:tcPr>
          <w:p w14:paraId="6E5189CA"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7.956</w:t>
            </w:r>
          </w:p>
        </w:tc>
        <w:tc>
          <w:tcPr>
            <w:tcW w:w="2268" w:type="dxa"/>
            <w:tcBorders>
              <w:top w:val="outset" w:sz="6" w:space="0" w:color="auto"/>
              <w:left w:val="outset" w:sz="6" w:space="0" w:color="auto"/>
              <w:bottom w:val="outset" w:sz="6" w:space="0" w:color="auto"/>
              <w:right w:val="outset" w:sz="6" w:space="0" w:color="auto"/>
            </w:tcBorders>
            <w:vAlign w:val="bottom"/>
          </w:tcPr>
          <w:p w14:paraId="491FEF3C"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w:t>
            </w:r>
          </w:p>
        </w:tc>
        <w:tc>
          <w:tcPr>
            <w:tcW w:w="1417" w:type="dxa"/>
            <w:tcBorders>
              <w:top w:val="outset" w:sz="6" w:space="0" w:color="auto"/>
              <w:left w:val="outset" w:sz="6" w:space="0" w:color="auto"/>
              <w:bottom w:val="outset" w:sz="6" w:space="0" w:color="auto"/>
              <w:right w:val="outset" w:sz="6" w:space="0" w:color="auto"/>
            </w:tcBorders>
            <w:vAlign w:val="bottom"/>
          </w:tcPr>
          <w:p w14:paraId="6929BD84"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15,30%</w:t>
            </w:r>
          </w:p>
        </w:tc>
      </w:tr>
      <w:tr w:rsidR="00EE1145" w14:paraId="66BA925B"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36731A4D"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lastRenderedPageBreak/>
              <w:t>80.000</w:t>
            </w:r>
          </w:p>
        </w:tc>
        <w:tc>
          <w:tcPr>
            <w:tcW w:w="1567" w:type="dxa"/>
            <w:tcBorders>
              <w:top w:val="outset" w:sz="6" w:space="0" w:color="auto"/>
              <w:left w:val="outset" w:sz="6" w:space="0" w:color="auto"/>
              <w:bottom w:val="outset" w:sz="6" w:space="0" w:color="auto"/>
              <w:right w:val="outset" w:sz="6" w:space="0" w:color="auto"/>
            </w:tcBorders>
            <w:vAlign w:val="bottom"/>
          </w:tcPr>
          <w:p w14:paraId="78C4DBE1"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9.180</w:t>
            </w:r>
          </w:p>
        </w:tc>
        <w:tc>
          <w:tcPr>
            <w:tcW w:w="2268" w:type="dxa"/>
            <w:tcBorders>
              <w:top w:val="outset" w:sz="6" w:space="0" w:color="auto"/>
              <w:left w:val="outset" w:sz="6" w:space="0" w:color="auto"/>
              <w:bottom w:val="outset" w:sz="6" w:space="0" w:color="auto"/>
              <w:right w:val="outset" w:sz="6" w:space="0" w:color="auto"/>
            </w:tcBorders>
            <w:vAlign w:val="bottom"/>
          </w:tcPr>
          <w:p w14:paraId="33343F39"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40.000</w:t>
            </w:r>
          </w:p>
        </w:tc>
        <w:tc>
          <w:tcPr>
            <w:tcW w:w="1417" w:type="dxa"/>
            <w:tcBorders>
              <w:top w:val="outset" w:sz="6" w:space="0" w:color="auto"/>
              <w:left w:val="outset" w:sz="6" w:space="0" w:color="auto"/>
              <w:bottom w:val="outset" w:sz="6" w:space="0" w:color="auto"/>
              <w:right w:val="outset" w:sz="6" w:space="0" w:color="auto"/>
            </w:tcBorders>
            <w:vAlign w:val="bottom"/>
          </w:tcPr>
          <w:p w14:paraId="766A4A8A"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16,15%</w:t>
            </w:r>
          </w:p>
        </w:tc>
      </w:tr>
      <w:tr w:rsidR="00EE1145" w14:paraId="1A9179D6"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1E8DA193"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120.000</w:t>
            </w:r>
          </w:p>
        </w:tc>
        <w:tc>
          <w:tcPr>
            <w:tcW w:w="1567" w:type="dxa"/>
            <w:tcBorders>
              <w:top w:val="outset" w:sz="6" w:space="0" w:color="auto"/>
              <w:left w:val="outset" w:sz="6" w:space="0" w:color="auto"/>
              <w:bottom w:val="outset" w:sz="6" w:space="0" w:color="auto"/>
              <w:right w:val="outset" w:sz="6" w:space="0" w:color="auto"/>
            </w:tcBorders>
            <w:vAlign w:val="bottom"/>
          </w:tcPr>
          <w:p w14:paraId="3A7C4930"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15.640</w:t>
            </w:r>
          </w:p>
        </w:tc>
        <w:tc>
          <w:tcPr>
            <w:tcW w:w="2268" w:type="dxa"/>
            <w:tcBorders>
              <w:top w:val="outset" w:sz="6" w:space="0" w:color="auto"/>
              <w:left w:val="outset" w:sz="6" w:space="0" w:color="auto"/>
              <w:bottom w:val="outset" w:sz="6" w:space="0" w:color="auto"/>
              <w:right w:val="outset" w:sz="6" w:space="0" w:color="auto"/>
            </w:tcBorders>
            <w:vAlign w:val="bottom"/>
          </w:tcPr>
          <w:p w14:paraId="4D108689"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40.000</w:t>
            </w:r>
          </w:p>
        </w:tc>
        <w:tc>
          <w:tcPr>
            <w:tcW w:w="1417" w:type="dxa"/>
            <w:tcBorders>
              <w:top w:val="outset" w:sz="6" w:space="0" w:color="auto"/>
              <w:left w:val="outset" w:sz="6" w:space="0" w:color="auto"/>
              <w:bottom w:val="outset" w:sz="6" w:space="0" w:color="auto"/>
              <w:right w:val="outset" w:sz="6" w:space="0" w:color="auto"/>
            </w:tcBorders>
            <w:vAlign w:val="bottom"/>
          </w:tcPr>
          <w:p w14:paraId="0E061648"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18,70%</w:t>
            </w:r>
          </w:p>
        </w:tc>
      </w:tr>
      <w:tr w:rsidR="00EE1145" w14:paraId="2D5C1C3A"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59FBCAA0"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160.000</w:t>
            </w:r>
          </w:p>
        </w:tc>
        <w:tc>
          <w:tcPr>
            <w:tcW w:w="1567" w:type="dxa"/>
            <w:tcBorders>
              <w:top w:val="outset" w:sz="6" w:space="0" w:color="auto"/>
              <w:left w:val="outset" w:sz="6" w:space="0" w:color="auto"/>
              <w:bottom w:val="outset" w:sz="6" w:space="0" w:color="auto"/>
              <w:right w:val="outset" w:sz="6" w:space="0" w:color="auto"/>
            </w:tcBorders>
            <w:vAlign w:val="bottom"/>
          </w:tcPr>
          <w:p w14:paraId="2B994BB2"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23.120</w:t>
            </w:r>
          </w:p>
        </w:tc>
        <w:tc>
          <w:tcPr>
            <w:tcW w:w="2268" w:type="dxa"/>
            <w:tcBorders>
              <w:top w:val="outset" w:sz="6" w:space="0" w:color="auto"/>
              <w:left w:val="outset" w:sz="6" w:space="0" w:color="auto"/>
              <w:bottom w:val="outset" w:sz="6" w:space="0" w:color="auto"/>
              <w:right w:val="outset" w:sz="6" w:space="0" w:color="auto"/>
            </w:tcBorders>
            <w:vAlign w:val="bottom"/>
          </w:tcPr>
          <w:p w14:paraId="32F9B0E6"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80.000</w:t>
            </w:r>
          </w:p>
        </w:tc>
        <w:tc>
          <w:tcPr>
            <w:tcW w:w="1417" w:type="dxa"/>
            <w:tcBorders>
              <w:top w:val="outset" w:sz="6" w:space="0" w:color="auto"/>
              <w:left w:val="outset" w:sz="6" w:space="0" w:color="auto"/>
              <w:bottom w:val="outset" w:sz="6" w:space="0" w:color="auto"/>
              <w:right w:val="outset" w:sz="6" w:space="0" w:color="auto"/>
            </w:tcBorders>
            <w:vAlign w:val="bottom"/>
          </w:tcPr>
          <w:p w14:paraId="30043B1A"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21,25%</w:t>
            </w:r>
          </w:p>
        </w:tc>
      </w:tr>
      <w:tr w:rsidR="00EE1145" w14:paraId="64096E22"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41B3B75C"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240.000</w:t>
            </w:r>
          </w:p>
        </w:tc>
        <w:tc>
          <w:tcPr>
            <w:tcW w:w="1567" w:type="dxa"/>
            <w:tcBorders>
              <w:top w:val="outset" w:sz="6" w:space="0" w:color="auto"/>
              <w:left w:val="outset" w:sz="6" w:space="0" w:color="auto"/>
              <w:bottom w:val="outset" w:sz="6" w:space="0" w:color="auto"/>
              <w:right w:val="outset" w:sz="6" w:space="0" w:color="auto"/>
            </w:tcBorders>
            <w:vAlign w:val="bottom"/>
          </w:tcPr>
          <w:p w14:paraId="268E198B"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40.120</w:t>
            </w:r>
          </w:p>
        </w:tc>
        <w:tc>
          <w:tcPr>
            <w:tcW w:w="2268" w:type="dxa"/>
            <w:tcBorders>
              <w:top w:val="outset" w:sz="6" w:space="0" w:color="auto"/>
              <w:left w:val="outset" w:sz="6" w:space="0" w:color="auto"/>
              <w:bottom w:val="outset" w:sz="6" w:space="0" w:color="auto"/>
              <w:right w:val="outset" w:sz="6" w:space="0" w:color="auto"/>
            </w:tcBorders>
            <w:vAlign w:val="bottom"/>
          </w:tcPr>
          <w:p w14:paraId="3476AA29"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160.000</w:t>
            </w:r>
          </w:p>
        </w:tc>
        <w:tc>
          <w:tcPr>
            <w:tcW w:w="1417" w:type="dxa"/>
            <w:tcBorders>
              <w:top w:val="outset" w:sz="6" w:space="0" w:color="auto"/>
              <w:left w:val="outset" w:sz="6" w:space="0" w:color="auto"/>
              <w:bottom w:val="outset" w:sz="6" w:space="0" w:color="auto"/>
              <w:right w:val="outset" w:sz="6" w:space="0" w:color="auto"/>
            </w:tcBorders>
            <w:vAlign w:val="bottom"/>
          </w:tcPr>
          <w:p w14:paraId="476AB75E"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25,50%</w:t>
            </w:r>
          </w:p>
        </w:tc>
      </w:tr>
      <w:tr w:rsidR="00EE1145" w14:paraId="3A62C74C"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58D2F826"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400.000</w:t>
            </w:r>
          </w:p>
        </w:tc>
        <w:tc>
          <w:tcPr>
            <w:tcW w:w="1567" w:type="dxa"/>
            <w:tcBorders>
              <w:top w:val="outset" w:sz="6" w:space="0" w:color="auto"/>
              <w:left w:val="outset" w:sz="6" w:space="0" w:color="auto"/>
              <w:bottom w:val="outset" w:sz="6" w:space="0" w:color="auto"/>
              <w:right w:val="outset" w:sz="6" w:space="0" w:color="auto"/>
            </w:tcBorders>
            <w:vAlign w:val="bottom"/>
          </w:tcPr>
          <w:p w14:paraId="3086B5ED"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80.920</w:t>
            </w:r>
          </w:p>
        </w:tc>
        <w:tc>
          <w:tcPr>
            <w:tcW w:w="2268" w:type="dxa"/>
            <w:tcBorders>
              <w:top w:val="outset" w:sz="6" w:space="0" w:color="auto"/>
              <w:left w:val="outset" w:sz="6" w:space="0" w:color="auto"/>
              <w:bottom w:val="outset" w:sz="6" w:space="0" w:color="auto"/>
              <w:right w:val="outset" w:sz="6" w:space="0" w:color="auto"/>
            </w:tcBorders>
            <w:vAlign w:val="bottom"/>
          </w:tcPr>
          <w:p w14:paraId="3AFE230F"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400.000</w:t>
            </w:r>
          </w:p>
        </w:tc>
        <w:tc>
          <w:tcPr>
            <w:tcW w:w="1417" w:type="dxa"/>
            <w:tcBorders>
              <w:top w:val="outset" w:sz="6" w:space="0" w:color="auto"/>
              <w:left w:val="outset" w:sz="6" w:space="0" w:color="auto"/>
              <w:bottom w:val="outset" w:sz="6" w:space="0" w:color="auto"/>
              <w:right w:val="outset" w:sz="6" w:space="0" w:color="auto"/>
            </w:tcBorders>
            <w:vAlign w:val="bottom"/>
          </w:tcPr>
          <w:p w14:paraId="4293C7BF"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31,25%</w:t>
            </w:r>
          </w:p>
        </w:tc>
      </w:tr>
      <w:tr w:rsidR="00EE1145" w14:paraId="013FC1A6" w14:textId="77777777">
        <w:trPr>
          <w:tblCellSpacing w:w="0" w:type="dxa"/>
        </w:trPr>
        <w:tc>
          <w:tcPr>
            <w:tcW w:w="1835" w:type="dxa"/>
            <w:tcBorders>
              <w:top w:val="outset" w:sz="6" w:space="0" w:color="auto"/>
              <w:left w:val="outset" w:sz="6" w:space="0" w:color="auto"/>
              <w:bottom w:val="outset" w:sz="6" w:space="0" w:color="auto"/>
              <w:right w:val="outset" w:sz="6" w:space="0" w:color="auto"/>
            </w:tcBorders>
            <w:vAlign w:val="bottom"/>
          </w:tcPr>
          <w:p w14:paraId="7A849170"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800.000</w:t>
            </w:r>
          </w:p>
        </w:tc>
        <w:tc>
          <w:tcPr>
            <w:tcW w:w="1567" w:type="dxa"/>
            <w:tcBorders>
              <w:top w:val="outset" w:sz="6" w:space="0" w:color="auto"/>
              <w:left w:val="outset" w:sz="6" w:space="0" w:color="auto"/>
              <w:bottom w:val="outset" w:sz="6" w:space="0" w:color="auto"/>
              <w:right w:val="outset" w:sz="6" w:space="0" w:color="auto"/>
            </w:tcBorders>
            <w:vAlign w:val="bottom"/>
          </w:tcPr>
          <w:p w14:paraId="4ACC65EE"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205.920</w:t>
            </w:r>
          </w:p>
        </w:tc>
        <w:tc>
          <w:tcPr>
            <w:tcW w:w="2268" w:type="dxa"/>
            <w:tcBorders>
              <w:top w:val="outset" w:sz="6" w:space="0" w:color="auto"/>
              <w:left w:val="outset" w:sz="6" w:space="0" w:color="auto"/>
              <w:bottom w:val="outset" w:sz="6" w:space="0" w:color="auto"/>
              <w:right w:val="outset" w:sz="6" w:space="0" w:color="auto"/>
            </w:tcBorders>
            <w:vAlign w:val="bottom"/>
          </w:tcPr>
          <w:p w14:paraId="1E6F3933"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En adelante</w:t>
            </w:r>
          </w:p>
        </w:tc>
        <w:tc>
          <w:tcPr>
            <w:tcW w:w="1417" w:type="dxa"/>
            <w:tcBorders>
              <w:top w:val="outset" w:sz="6" w:space="0" w:color="auto"/>
              <w:left w:val="outset" w:sz="6" w:space="0" w:color="auto"/>
              <w:bottom w:val="outset" w:sz="6" w:space="0" w:color="auto"/>
              <w:right w:val="outset" w:sz="6" w:space="0" w:color="auto"/>
            </w:tcBorders>
            <w:vAlign w:val="bottom"/>
          </w:tcPr>
          <w:p w14:paraId="2BF215EC"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36,50,00%</w:t>
            </w:r>
          </w:p>
        </w:tc>
      </w:tr>
    </w:tbl>
    <w:p w14:paraId="05F4B8A7" w14:textId="77777777" w:rsidR="00EE1145" w:rsidRDefault="00EE1145">
      <w:pPr>
        <w:spacing w:line="280" w:lineRule="atLeast"/>
        <w:ind w:left="792"/>
        <w:jc w:val="both"/>
        <w:rPr>
          <w:color w:val="000000"/>
          <w:spacing w:val="6"/>
          <w:sz w:val="26"/>
          <w:szCs w:val="26"/>
        </w:rPr>
      </w:pPr>
    </w:p>
    <w:p w14:paraId="185C8CC1" w14:textId="77777777" w:rsidR="00EE1145" w:rsidRDefault="00EE1145" w:rsidP="00C854F8">
      <w:pPr>
        <w:numPr>
          <w:ilvl w:val="2"/>
          <w:numId w:val="15"/>
        </w:numPr>
        <w:tabs>
          <w:tab w:val="clear" w:pos="1440"/>
          <w:tab w:val="num" w:pos="1080"/>
        </w:tabs>
        <w:spacing w:line="280" w:lineRule="atLeast"/>
        <w:ind w:left="864"/>
        <w:jc w:val="both"/>
        <w:rPr>
          <w:b/>
          <w:spacing w:val="6"/>
          <w:sz w:val="22"/>
          <w:szCs w:val="22"/>
        </w:rPr>
      </w:pPr>
      <w:bookmarkStart w:id="196" w:name="Grupo482"/>
      <w:bookmarkEnd w:id="196"/>
      <w:r>
        <w:rPr>
          <w:rFonts w:ascii="Times New Roman" w:hAnsi="Times New Roman"/>
          <w:b/>
          <w:spacing w:val="6"/>
          <w:sz w:val="26"/>
          <w:szCs w:val="26"/>
        </w:rPr>
        <w:t>Grupos I y II (desde el 01/01/2017)</w:t>
      </w:r>
    </w:p>
    <w:p w14:paraId="31907BEC" w14:textId="77777777" w:rsidR="00EE1145" w:rsidRDefault="00EE1145">
      <w:pPr>
        <w:spacing w:line="280" w:lineRule="atLeast"/>
        <w:ind w:left="1080"/>
        <w:jc w:val="both"/>
        <w:rPr>
          <w:color w:val="000000"/>
          <w:spacing w:val="6"/>
          <w:sz w:val="26"/>
          <w:szCs w:val="26"/>
        </w:rPr>
      </w:pPr>
      <w:r>
        <w:rPr>
          <w:color w:val="000000"/>
          <w:spacing w:val="6"/>
          <w:sz w:val="26"/>
          <w:szCs w:val="26"/>
        </w:rPr>
        <w:t>P</w:t>
      </w:r>
      <w:r>
        <w:rPr>
          <w:rFonts w:ascii="Times New Roman" w:hAnsi="Times New Roman"/>
          <w:sz w:val="26"/>
          <w:szCs w:val="26"/>
          <w:lang w:val="es-ES"/>
        </w:rPr>
        <w:t>ara Sucesiones causadas desde el 1 de enero de 2017,</w:t>
      </w:r>
      <w:r>
        <w:rPr>
          <w:color w:val="000000"/>
          <w:spacing w:val="6"/>
          <w:sz w:val="26"/>
          <w:szCs w:val="26"/>
        </w:rPr>
        <w:t xml:space="preserve"> a los </w:t>
      </w:r>
      <w:hyperlink r:id="rId306" w:anchor="a20" w:history="1">
        <w:r>
          <w:rPr>
            <w:rStyle w:val="Hipervnculo"/>
            <w:rFonts w:ascii="Times New Roman" w:hAnsi="Times New Roman"/>
            <w:sz w:val="26"/>
            <w:szCs w:val="26"/>
            <w:lang w:val="es-ES"/>
          </w:rPr>
          <w:t>Grupos I y II</w:t>
        </w:r>
      </w:hyperlink>
      <w:r>
        <w:rPr>
          <w:rFonts w:ascii="Times New Roman" w:hAnsi="Times New Roman"/>
          <w:sz w:val="26"/>
          <w:szCs w:val="26"/>
          <w:lang w:val="es-ES"/>
        </w:rPr>
        <w:t xml:space="preserve"> </w:t>
      </w:r>
      <w:r>
        <w:rPr>
          <w:color w:val="000000"/>
          <w:spacing w:val="6"/>
          <w:sz w:val="26"/>
          <w:szCs w:val="26"/>
        </w:rPr>
        <w:t xml:space="preserve">se aplica la tarifa especial del </w:t>
      </w:r>
      <w:hyperlink r:id="rId307" w:anchor="a21" w:history="1">
        <w:r>
          <w:rPr>
            <w:rStyle w:val="Hipervnculo"/>
            <w:spacing w:val="6"/>
            <w:sz w:val="26"/>
            <w:szCs w:val="26"/>
          </w:rPr>
          <w:t>art. 21-2 del Decreto-legislativo asturiano 2/2014</w:t>
        </w:r>
      </w:hyperlink>
      <w:r>
        <w:rPr>
          <w:color w:val="000000"/>
          <w:spacing w:val="6"/>
          <w:sz w:val="26"/>
          <w:szCs w:val="26"/>
        </w:rPr>
        <w:t xml:space="preserve"> </w:t>
      </w:r>
      <w:r>
        <w:rPr>
          <w:spacing w:val="6"/>
          <w:sz w:val="26"/>
          <w:szCs w:val="26"/>
        </w:rPr>
        <w:t xml:space="preserve">(que sustituye a la autonómica general desde la </w:t>
      </w:r>
      <w:hyperlink r:id="rId308" w:history="1">
        <w:r>
          <w:rPr>
            <w:rStyle w:val="Hipervnculo"/>
            <w:rFonts w:ascii="Times New Roman" w:hAnsi="Times New Roman"/>
            <w:sz w:val="26"/>
            <w:szCs w:val="26"/>
          </w:rPr>
          <w:t>Ley 6/2016</w:t>
        </w:r>
      </w:hyperlink>
      <w:r>
        <w:rPr>
          <w:color w:val="000000"/>
          <w:spacing w:val="6"/>
          <w:sz w:val="26"/>
          <w:szCs w:val="26"/>
        </w:rPr>
        <w:t>):</w:t>
      </w:r>
    </w:p>
    <w:p w14:paraId="0EEEE2F6" w14:textId="77777777" w:rsidR="00EE1145" w:rsidRDefault="00EE1145">
      <w:pPr>
        <w:spacing w:line="280" w:lineRule="atLeast"/>
        <w:ind w:left="720"/>
        <w:jc w:val="both"/>
        <w:rPr>
          <w:rFonts w:ascii="Times New Roman" w:hAnsi="Times New Roman"/>
          <w:sz w:val="26"/>
          <w:szCs w:val="26"/>
          <w:lang w:val="es-ES"/>
        </w:rPr>
      </w:pPr>
    </w:p>
    <w:p w14:paraId="7D85B554" w14:textId="77777777" w:rsidR="00EA6C1A" w:rsidRDefault="00EA6C1A">
      <w:pPr>
        <w:spacing w:line="280" w:lineRule="atLeast"/>
        <w:ind w:left="720"/>
        <w:jc w:val="both"/>
        <w:rPr>
          <w:rFonts w:ascii="Times New Roman" w:hAnsi="Times New Roman"/>
          <w:sz w:val="26"/>
          <w:szCs w:val="26"/>
          <w:lang w:val="es-ES"/>
        </w:rPr>
      </w:pPr>
    </w:p>
    <w:tbl>
      <w:tblPr>
        <w:tblW w:w="6945" w:type="dxa"/>
        <w:tblCellSpacing w:w="0" w:type="dxa"/>
        <w:tblInd w:w="162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1701"/>
        <w:gridCol w:w="1559"/>
        <w:gridCol w:w="2268"/>
        <w:gridCol w:w="1417"/>
      </w:tblGrid>
      <w:tr w:rsidR="00EE1145" w14:paraId="50E6F65B" w14:textId="77777777">
        <w:trPr>
          <w:tblCellSpacing w:w="0" w:type="dxa"/>
        </w:trPr>
        <w:tc>
          <w:tcPr>
            <w:tcW w:w="1701" w:type="dxa"/>
            <w:tcBorders>
              <w:top w:val="outset" w:sz="6" w:space="0" w:color="auto"/>
              <w:left w:val="outset" w:sz="6" w:space="0" w:color="auto"/>
              <w:bottom w:val="outset" w:sz="6" w:space="0" w:color="auto"/>
              <w:right w:val="outset" w:sz="6" w:space="0" w:color="auto"/>
            </w:tcBorders>
            <w:vAlign w:val="center"/>
          </w:tcPr>
          <w:p w14:paraId="0D8A600A"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Base liquidable €</w:t>
            </w:r>
          </w:p>
        </w:tc>
        <w:tc>
          <w:tcPr>
            <w:tcW w:w="1559" w:type="dxa"/>
            <w:tcBorders>
              <w:top w:val="outset" w:sz="6" w:space="0" w:color="auto"/>
              <w:left w:val="outset" w:sz="6" w:space="0" w:color="auto"/>
              <w:bottom w:val="outset" w:sz="6" w:space="0" w:color="auto"/>
              <w:right w:val="outset" w:sz="6" w:space="0" w:color="auto"/>
            </w:tcBorders>
            <w:vAlign w:val="center"/>
          </w:tcPr>
          <w:p w14:paraId="10931150"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Cuota íntegra €</w:t>
            </w:r>
          </w:p>
        </w:tc>
        <w:tc>
          <w:tcPr>
            <w:tcW w:w="2268" w:type="dxa"/>
            <w:tcBorders>
              <w:top w:val="outset" w:sz="6" w:space="0" w:color="auto"/>
              <w:left w:val="outset" w:sz="6" w:space="0" w:color="auto"/>
              <w:bottom w:val="outset" w:sz="6" w:space="0" w:color="auto"/>
              <w:right w:val="outset" w:sz="6" w:space="0" w:color="auto"/>
            </w:tcBorders>
            <w:vAlign w:val="center"/>
          </w:tcPr>
          <w:p w14:paraId="750BEDF2"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Resto base liquidable €</w:t>
            </w:r>
          </w:p>
        </w:tc>
        <w:tc>
          <w:tcPr>
            <w:tcW w:w="1417" w:type="dxa"/>
            <w:tcBorders>
              <w:top w:val="outset" w:sz="6" w:space="0" w:color="auto"/>
              <w:left w:val="outset" w:sz="6" w:space="0" w:color="auto"/>
              <w:bottom w:val="outset" w:sz="6" w:space="0" w:color="auto"/>
              <w:right w:val="outset" w:sz="6" w:space="0" w:color="auto"/>
            </w:tcBorders>
            <w:vAlign w:val="center"/>
          </w:tcPr>
          <w:p w14:paraId="65B44C7B"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Tipo aplicable</w:t>
            </w:r>
          </w:p>
        </w:tc>
      </w:tr>
      <w:tr w:rsidR="00EE1145" w14:paraId="7B1BE088" w14:textId="77777777">
        <w:trPr>
          <w:tblCellSpacing w:w="0" w:type="dxa"/>
        </w:trPr>
        <w:tc>
          <w:tcPr>
            <w:tcW w:w="1701" w:type="dxa"/>
            <w:tcBorders>
              <w:top w:val="outset" w:sz="6" w:space="0" w:color="auto"/>
              <w:left w:val="outset" w:sz="6" w:space="0" w:color="auto"/>
              <w:bottom w:val="outset" w:sz="6" w:space="0" w:color="auto"/>
              <w:right w:val="outset" w:sz="6" w:space="0" w:color="auto"/>
            </w:tcBorders>
            <w:vAlign w:val="bottom"/>
          </w:tcPr>
          <w:p w14:paraId="4785DB92"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0</w:t>
            </w:r>
          </w:p>
        </w:tc>
        <w:tc>
          <w:tcPr>
            <w:tcW w:w="1559" w:type="dxa"/>
            <w:tcBorders>
              <w:top w:val="outset" w:sz="6" w:space="0" w:color="auto"/>
              <w:left w:val="outset" w:sz="6" w:space="0" w:color="auto"/>
              <w:bottom w:val="outset" w:sz="6" w:space="0" w:color="auto"/>
              <w:right w:val="outset" w:sz="6" w:space="0" w:color="auto"/>
            </w:tcBorders>
            <w:vAlign w:val="bottom"/>
          </w:tcPr>
          <w:p w14:paraId="75455A0F"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0</w:t>
            </w:r>
          </w:p>
        </w:tc>
        <w:tc>
          <w:tcPr>
            <w:tcW w:w="2268" w:type="dxa"/>
            <w:tcBorders>
              <w:top w:val="outset" w:sz="6" w:space="0" w:color="auto"/>
              <w:left w:val="outset" w:sz="6" w:space="0" w:color="auto"/>
              <w:bottom w:val="outset" w:sz="6" w:space="0" w:color="auto"/>
              <w:right w:val="outset" w:sz="6" w:space="0" w:color="auto"/>
            </w:tcBorders>
            <w:vAlign w:val="bottom"/>
          </w:tcPr>
          <w:p w14:paraId="009CF27B"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56.000</w:t>
            </w:r>
          </w:p>
        </w:tc>
        <w:tc>
          <w:tcPr>
            <w:tcW w:w="1417" w:type="dxa"/>
            <w:tcBorders>
              <w:top w:val="outset" w:sz="6" w:space="0" w:color="auto"/>
              <w:left w:val="outset" w:sz="6" w:space="0" w:color="auto"/>
              <w:bottom w:val="outset" w:sz="6" w:space="0" w:color="auto"/>
              <w:right w:val="outset" w:sz="6" w:space="0" w:color="auto"/>
            </w:tcBorders>
            <w:vAlign w:val="bottom"/>
          </w:tcPr>
          <w:p w14:paraId="200F0412"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21,25%</w:t>
            </w:r>
          </w:p>
        </w:tc>
      </w:tr>
      <w:tr w:rsidR="00EE1145" w14:paraId="44627CE7" w14:textId="77777777">
        <w:trPr>
          <w:tblCellSpacing w:w="0" w:type="dxa"/>
        </w:trPr>
        <w:tc>
          <w:tcPr>
            <w:tcW w:w="1701" w:type="dxa"/>
            <w:tcBorders>
              <w:top w:val="outset" w:sz="6" w:space="0" w:color="auto"/>
              <w:left w:val="outset" w:sz="6" w:space="0" w:color="auto"/>
              <w:bottom w:val="outset" w:sz="6" w:space="0" w:color="auto"/>
              <w:right w:val="outset" w:sz="6" w:space="0" w:color="auto"/>
            </w:tcBorders>
            <w:vAlign w:val="bottom"/>
          </w:tcPr>
          <w:p w14:paraId="7781BD5F"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56.000</w:t>
            </w:r>
          </w:p>
        </w:tc>
        <w:tc>
          <w:tcPr>
            <w:tcW w:w="1559" w:type="dxa"/>
            <w:tcBorders>
              <w:top w:val="outset" w:sz="6" w:space="0" w:color="auto"/>
              <w:left w:val="outset" w:sz="6" w:space="0" w:color="auto"/>
              <w:bottom w:val="outset" w:sz="6" w:space="0" w:color="auto"/>
              <w:right w:val="outset" w:sz="6" w:space="0" w:color="auto"/>
            </w:tcBorders>
            <w:vAlign w:val="bottom"/>
          </w:tcPr>
          <w:p w14:paraId="474AE6C3"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11.900</w:t>
            </w:r>
          </w:p>
        </w:tc>
        <w:tc>
          <w:tcPr>
            <w:tcW w:w="2268" w:type="dxa"/>
            <w:tcBorders>
              <w:top w:val="outset" w:sz="6" w:space="0" w:color="auto"/>
              <w:left w:val="outset" w:sz="6" w:space="0" w:color="auto"/>
              <w:bottom w:val="outset" w:sz="6" w:space="0" w:color="auto"/>
              <w:right w:val="outset" w:sz="6" w:space="0" w:color="auto"/>
            </w:tcBorders>
            <w:vAlign w:val="bottom"/>
          </w:tcPr>
          <w:p w14:paraId="1F83AD6B"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160.000</w:t>
            </w:r>
          </w:p>
        </w:tc>
        <w:tc>
          <w:tcPr>
            <w:tcW w:w="1417" w:type="dxa"/>
            <w:tcBorders>
              <w:top w:val="outset" w:sz="6" w:space="0" w:color="auto"/>
              <w:left w:val="outset" w:sz="6" w:space="0" w:color="auto"/>
              <w:bottom w:val="outset" w:sz="6" w:space="0" w:color="auto"/>
              <w:right w:val="outset" w:sz="6" w:space="0" w:color="auto"/>
            </w:tcBorders>
            <w:vAlign w:val="bottom"/>
          </w:tcPr>
          <w:p w14:paraId="19A0AEE6"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25,50%</w:t>
            </w:r>
          </w:p>
        </w:tc>
      </w:tr>
      <w:tr w:rsidR="00EE1145" w14:paraId="1BBAE29C" w14:textId="77777777">
        <w:trPr>
          <w:tblCellSpacing w:w="0" w:type="dxa"/>
        </w:trPr>
        <w:tc>
          <w:tcPr>
            <w:tcW w:w="1701" w:type="dxa"/>
            <w:tcBorders>
              <w:top w:val="outset" w:sz="6" w:space="0" w:color="auto"/>
              <w:left w:val="outset" w:sz="6" w:space="0" w:color="auto"/>
              <w:bottom w:val="outset" w:sz="6" w:space="0" w:color="auto"/>
              <w:right w:val="outset" w:sz="6" w:space="0" w:color="auto"/>
            </w:tcBorders>
            <w:vAlign w:val="bottom"/>
          </w:tcPr>
          <w:p w14:paraId="115E9179"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216.000</w:t>
            </w:r>
          </w:p>
        </w:tc>
        <w:tc>
          <w:tcPr>
            <w:tcW w:w="1559" w:type="dxa"/>
            <w:tcBorders>
              <w:top w:val="outset" w:sz="6" w:space="0" w:color="auto"/>
              <w:left w:val="outset" w:sz="6" w:space="0" w:color="auto"/>
              <w:bottom w:val="outset" w:sz="6" w:space="0" w:color="auto"/>
              <w:right w:val="outset" w:sz="6" w:space="0" w:color="auto"/>
            </w:tcBorders>
            <w:vAlign w:val="bottom"/>
          </w:tcPr>
          <w:p w14:paraId="73FF837B"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52.700</w:t>
            </w:r>
          </w:p>
        </w:tc>
        <w:tc>
          <w:tcPr>
            <w:tcW w:w="2268" w:type="dxa"/>
            <w:tcBorders>
              <w:top w:val="outset" w:sz="6" w:space="0" w:color="auto"/>
              <w:left w:val="outset" w:sz="6" w:space="0" w:color="auto"/>
              <w:bottom w:val="outset" w:sz="6" w:space="0" w:color="auto"/>
              <w:right w:val="outset" w:sz="6" w:space="0" w:color="auto"/>
            </w:tcBorders>
            <w:vAlign w:val="bottom"/>
          </w:tcPr>
          <w:p w14:paraId="2C63EC30"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400.000</w:t>
            </w:r>
          </w:p>
        </w:tc>
        <w:tc>
          <w:tcPr>
            <w:tcW w:w="1417" w:type="dxa"/>
            <w:tcBorders>
              <w:top w:val="outset" w:sz="6" w:space="0" w:color="auto"/>
              <w:left w:val="outset" w:sz="6" w:space="0" w:color="auto"/>
              <w:bottom w:val="outset" w:sz="6" w:space="0" w:color="auto"/>
              <w:right w:val="outset" w:sz="6" w:space="0" w:color="auto"/>
            </w:tcBorders>
            <w:vAlign w:val="bottom"/>
          </w:tcPr>
          <w:p w14:paraId="1068B380"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31,25%</w:t>
            </w:r>
          </w:p>
        </w:tc>
      </w:tr>
      <w:tr w:rsidR="00EE1145" w14:paraId="16750568" w14:textId="77777777">
        <w:trPr>
          <w:tblCellSpacing w:w="0" w:type="dxa"/>
        </w:trPr>
        <w:tc>
          <w:tcPr>
            <w:tcW w:w="1701" w:type="dxa"/>
            <w:tcBorders>
              <w:top w:val="outset" w:sz="6" w:space="0" w:color="auto"/>
              <w:left w:val="outset" w:sz="6" w:space="0" w:color="auto"/>
              <w:bottom w:val="outset" w:sz="6" w:space="0" w:color="auto"/>
              <w:right w:val="outset" w:sz="6" w:space="0" w:color="auto"/>
            </w:tcBorders>
            <w:vAlign w:val="bottom"/>
          </w:tcPr>
          <w:p w14:paraId="6B943B7C"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616.000</w:t>
            </w:r>
          </w:p>
        </w:tc>
        <w:tc>
          <w:tcPr>
            <w:tcW w:w="1559" w:type="dxa"/>
            <w:tcBorders>
              <w:top w:val="outset" w:sz="6" w:space="0" w:color="auto"/>
              <w:left w:val="outset" w:sz="6" w:space="0" w:color="auto"/>
              <w:bottom w:val="outset" w:sz="6" w:space="0" w:color="auto"/>
              <w:right w:val="outset" w:sz="6" w:space="0" w:color="auto"/>
            </w:tcBorders>
            <w:vAlign w:val="bottom"/>
          </w:tcPr>
          <w:p w14:paraId="30BAE275"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177.700</w:t>
            </w:r>
          </w:p>
        </w:tc>
        <w:tc>
          <w:tcPr>
            <w:tcW w:w="2268" w:type="dxa"/>
            <w:tcBorders>
              <w:top w:val="outset" w:sz="6" w:space="0" w:color="auto"/>
              <w:left w:val="outset" w:sz="6" w:space="0" w:color="auto"/>
              <w:bottom w:val="outset" w:sz="6" w:space="0" w:color="auto"/>
              <w:right w:val="outset" w:sz="6" w:space="0" w:color="auto"/>
            </w:tcBorders>
            <w:vAlign w:val="bottom"/>
          </w:tcPr>
          <w:p w14:paraId="0C8E7740" w14:textId="77777777" w:rsidR="00EE1145" w:rsidRDefault="00EE1145">
            <w:pPr>
              <w:overflowPunct/>
              <w:autoSpaceDE/>
              <w:autoSpaceDN/>
              <w:adjustRightInd/>
              <w:jc w:val="right"/>
              <w:textAlignment w:val="auto"/>
              <w:rPr>
                <w:rFonts w:ascii="Times New Roman" w:hAnsi="Times New Roman"/>
                <w:sz w:val="22"/>
                <w:szCs w:val="22"/>
                <w:lang w:val="es-ES"/>
              </w:rPr>
            </w:pPr>
            <w:r>
              <w:rPr>
                <w:rFonts w:ascii="Times New Roman" w:hAnsi="Times New Roman"/>
                <w:sz w:val="22"/>
                <w:szCs w:val="22"/>
                <w:lang w:val="es-ES"/>
              </w:rPr>
              <w:t>en adelante</w:t>
            </w:r>
          </w:p>
        </w:tc>
        <w:tc>
          <w:tcPr>
            <w:tcW w:w="1417" w:type="dxa"/>
            <w:tcBorders>
              <w:top w:val="outset" w:sz="6" w:space="0" w:color="auto"/>
              <w:left w:val="outset" w:sz="6" w:space="0" w:color="auto"/>
              <w:bottom w:val="outset" w:sz="6" w:space="0" w:color="auto"/>
              <w:right w:val="outset" w:sz="6" w:space="0" w:color="auto"/>
            </w:tcBorders>
            <w:vAlign w:val="bottom"/>
          </w:tcPr>
          <w:p w14:paraId="5081966F" w14:textId="77777777" w:rsidR="00EE1145" w:rsidRDefault="00EE1145">
            <w:pPr>
              <w:overflowPunct/>
              <w:autoSpaceDE/>
              <w:autoSpaceDN/>
              <w:adjustRightInd/>
              <w:jc w:val="center"/>
              <w:textAlignment w:val="auto"/>
              <w:rPr>
                <w:rFonts w:ascii="Times New Roman" w:hAnsi="Times New Roman"/>
                <w:sz w:val="22"/>
                <w:szCs w:val="22"/>
                <w:lang w:val="es-ES"/>
              </w:rPr>
            </w:pPr>
            <w:r>
              <w:rPr>
                <w:rFonts w:ascii="Times New Roman" w:hAnsi="Times New Roman"/>
                <w:sz w:val="22"/>
                <w:szCs w:val="22"/>
                <w:lang w:val="es-ES"/>
              </w:rPr>
              <w:t>36,50%</w:t>
            </w:r>
          </w:p>
        </w:tc>
      </w:tr>
    </w:tbl>
    <w:p w14:paraId="225D1B88" w14:textId="77777777" w:rsidR="00EE1145" w:rsidRDefault="00EE1145">
      <w:pPr>
        <w:spacing w:line="280" w:lineRule="atLeast"/>
        <w:ind w:left="720"/>
        <w:jc w:val="both"/>
        <w:rPr>
          <w:rFonts w:ascii="Times New Roman" w:hAnsi="Times New Roman"/>
          <w:sz w:val="26"/>
          <w:szCs w:val="26"/>
          <w:lang w:val="es-ES"/>
        </w:rPr>
      </w:pPr>
    </w:p>
    <w:p w14:paraId="68F60573" w14:textId="77777777" w:rsidR="009657C4" w:rsidRDefault="009657C4">
      <w:pPr>
        <w:spacing w:line="280" w:lineRule="atLeast"/>
        <w:ind w:left="720"/>
        <w:jc w:val="both"/>
        <w:rPr>
          <w:rFonts w:ascii="Times New Roman" w:hAnsi="Times New Roman"/>
          <w:sz w:val="26"/>
          <w:szCs w:val="26"/>
          <w:lang w:val="es-ES"/>
        </w:rPr>
      </w:pPr>
    </w:p>
    <w:p w14:paraId="413BECD6" w14:textId="77777777" w:rsidR="00EE1145" w:rsidRDefault="00EE1145" w:rsidP="00C854F8">
      <w:pPr>
        <w:numPr>
          <w:ilvl w:val="2"/>
          <w:numId w:val="15"/>
        </w:numPr>
        <w:tabs>
          <w:tab w:val="clear" w:pos="1440"/>
          <w:tab w:val="num" w:pos="1080"/>
        </w:tabs>
        <w:spacing w:line="280" w:lineRule="atLeast"/>
        <w:ind w:left="864"/>
        <w:jc w:val="both"/>
        <w:rPr>
          <w:b/>
          <w:color w:val="000000"/>
          <w:spacing w:val="6"/>
          <w:sz w:val="22"/>
          <w:szCs w:val="22"/>
        </w:rPr>
      </w:pPr>
      <w:bookmarkStart w:id="197" w:name="tra483"/>
      <w:bookmarkEnd w:id="197"/>
      <w:r>
        <w:rPr>
          <w:rFonts w:ascii="Times New Roman" w:hAnsi="Times New Roman"/>
          <w:b/>
          <w:color w:val="000000"/>
          <w:spacing w:val="6"/>
          <w:sz w:val="26"/>
          <w:szCs w:val="26"/>
        </w:rPr>
        <w:t>Tratamiento notarial</w:t>
      </w:r>
    </w:p>
    <w:p w14:paraId="32F9A256" w14:textId="77777777" w:rsidR="00EE1145" w:rsidRDefault="00EE1145" w:rsidP="009657C4">
      <w:pPr>
        <w:spacing w:after="60"/>
        <w:ind w:left="720"/>
        <w:jc w:val="both"/>
        <w:rPr>
          <w:rFonts w:ascii="CG Times" w:hAnsi="CG Times"/>
          <w:sz w:val="26"/>
          <w:szCs w:val="26"/>
        </w:rPr>
      </w:pPr>
      <w:r>
        <w:rPr>
          <w:rFonts w:ascii="CG Times" w:hAnsi="CG Times"/>
          <w:sz w:val="26"/>
          <w:szCs w:val="26"/>
        </w:rPr>
        <w:t xml:space="preserve">Incluir la anterior cláusula en la Exposición (eligiendo las opciones correspondientes). </w:t>
      </w:r>
    </w:p>
    <w:p w14:paraId="2DD599DB" w14:textId="77777777" w:rsidR="00EE1145" w:rsidRDefault="00EE1145" w:rsidP="00C854F8">
      <w:pPr>
        <w:numPr>
          <w:ilvl w:val="1"/>
          <w:numId w:val="15"/>
        </w:numPr>
        <w:tabs>
          <w:tab w:val="clear" w:pos="792"/>
          <w:tab w:val="num" w:pos="432"/>
        </w:tabs>
        <w:spacing w:line="280" w:lineRule="atLeast"/>
        <w:ind w:left="432"/>
        <w:jc w:val="both"/>
        <w:rPr>
          <w:b/>
          <w:spacing w:val="6"/>
          <w:sz w:val="22"/>
          <w:szCs w:val="22"/>
        </w:rPr>
      </w:pPr>
      <w:bookmarkStart w:id="198" w:name="TRI49"/>
      <w:bookmarkEnd w:id="198"/>
      <w:r>
        <w:rPr>
          <w:b/>
          <w:color w:val="000000"/>
          <w:spacing w:val="6"/>
          <w:sz w:val="26"/>
          <w:szCs w:val="26"/>
        </w:rPr>
        <w:t>Cuota tributaria (coeficientes próximos a cero para Grupo I)</w:t>
      </w:r>
    </w:p>
    <w:p w14:paraId="767C2D83" w14:textId="77777777" w:rsidR="00EE1145" w:rsidRDefault="00EE1145" w:rsidP="00C854F8">
      <w:pPr>
        <w:numPr>
          <w:ilvl w:val="2"/>
          <w:numId w:val="15"/>
        </w:numPr>
        <w:tabs>
          <w:tab w:val="clear" w:pos="1440"/>
          <w:tab w:val="num" w:pos="1080"/>
          <w:tab w:val="left" w:pos="1134"/>
        </w:tabs>
        <w:spacing w:line="280" w:lineRule="atLeast"/>
        <w:ind w:left="864"/>
        <w:jc w:val="both"/>
        <w:rPr>
          <w:b/>
          <w:color w:val="000000"/>
          <w:spacing w:val="6"/>
          <w:sz w:val="22"/>
          <w:szCs w:val="22"/>
        </w:rPr>
      </w:pPr>
      <w:bookmarkStart w:id="199" w:name="nor491"/>
      <w:bookmarkEnd w:id="199"/>
      <w:r>
        <w:rPr>
          <w:rFonts w:ascii="Times New Roman" w:hAnsi="Times New Roman"/>
          <w:b/>
          <w:color w:val="000000"/>
          <w:spacing w:val="6"/>
          <w:sz w:val="26"/>
          <w:szCs w:val="26"/>
        </w:rPr>
        <w:t>Normativa vigente</w:t>
      </w:r>
    </w:p>
    <w:p w14:paraId="14EAFB52" w14:textId="77777777" w:rsidR="00EE1145" w:rsidRDefault="00EE1145">
      <w:pPr>
        <w:spacing w:line="280" w:lineRule="atLeast"/>
        <w:ind w:left="1080"/>
        <w:jc w:val="both"/>
        <w:rPr>
          <w:rFonts w:ascii="Times New Roman" w:hAnsi="Times New Roman"/>
          <w:sz w:val="26"/>
          <w:szCs w:val="26"/>
          <w:lang w:val="es-ES"/>
        </w:rPr>
      </w:pPr>
      <w:r>
        <w:rPr>
          <w:rFonts w:ascii="Times New Roman" w:hAnsi="Times New Roman"/>
          <w:sz w:val="26"/>
          <w:szCs w:val="26"/>
          <w:lang w:val="es-ES"/>
        </w:rPr>
        <w:t xml:space="preserve">De la combinación del </w:t>
      </w:r>
      <w:hyperlink r:id="rId309" w:anchor="a20" w:history="1">
        <w:r>
          <w:rPr>
            <w:rStyle w:val="Hipervnculo"/>
            <w:rFonts w:ascii="Times New Roman" w:hAnsi="Times New Roman"/>
            <w:sz w:val="26"/>
            <w:szCs w:val="26"/>
            <w:lang w:val="es-ES"/>
          </w:rPr>
          <w:t>art. 22 del Decreto-legislativo asturiano 2/2014</w:t>
        </w:r>
      </w:hyperlink>
      <w:r>
        <w:rPr>
          <w:rFonts w:ascii="Times New Roman" w:hAnsi="Times New Roman"/>
          <w:sz w:val="26"/>
          <w:szCs w:val="26"/>
          <w:lang w:val="es-ES"/>
        </w:rPr>
        <w:t xml:space="preserve"> (para el </w:t>
      </w:r>
      <w:hyperlink r:id="rId310" w:anchor="a20" w:history="1">
        <w:r>
          <w:rPr>
            <w:rStyle w:val="Hipervnculo"/>
            <w:rFonts w:ascii="Times New Roman" w:hAnsi="Times New Roman"/>
            <w:sz w:val="26"/>
            <w:szCs w:val="26"/>
            <w:lang w:val="es-ES"/>
          </w:rPr>
          <w:t>Grupo I</w:t>
        </w:r>
      </w:hyperlink>
      <w:r>
        <w:rPr>
          <w:rFonts w:ascii="Times New Roman" w:hAnsi="Times New Roman"/>
          <w:sz w:val="26"/>
          <w:szCs w:val="26"/>
          <w:lang w:val="es-ES"/>
        </w:rPr>
        <w:t xml:space="preserve">) y del </w:t>
      </w:r>
      <w:hyperlink r:id="rId311" w:anchor="a22" w:history="1">
        <w:r>
          <w:rPr>
            <w:rStyle w:val="Hipervnculo"/>
            <w:rFonts w:ascii="Times New Roman" w:hAnsi="Times New Roman"/>
            <w:sz w:val="26"/>
            <w:szCs w:val="26"/>
            <w:lang w:val="es-ES"/>
          </w:rPr>
          <w:t>art. 22 de la Ley estatal 29/1987</w:t>
        </w:r>
      </w:hyperlink>
      <w:r>
        <w:rPr>
          <w:rFonts w:ascii="Times New Roman" w:hAnsi="Times New Roman"/>
          <w:sz w:val="26"/>
          <w:szCs w:val="26"/>
          <w:lang w:val="es-ES"/>
        </w:rPr>
        <w:t xml:space="preserve"> (</w:t>
      </w:r>
      <w:hyperlink r:id="rId312" w:anchor="a20" w:history="1">
        <w:r>
          <w:rPr>
            <w:rStyle w:val="Hipervnculo"/>
            <w:rFonts w:ascii="Times New Roman" w:hAnsi="Times New Roman"/>
            <w:sz w:val="26"/>
            <w:szCs w:val="26"/>
            <w:lang w:val="es-ES"/>
          </w:rPr>
          <w:t>Grupos II, III y IV</w:t>
        </w:r>
      </w:hyperlink>
      <w:r>
        <w:rPr>
          <w:rFonts w:ascii="Times New Roman" w:hAnsi="Times New Roman"/>
          <w:sz w:val="26"/>
          <w:szCs w:val="26"/>
          <w:lang w:val="es-ES"/>
        </w:rPr>
        <w:t>), en el Impuesto sobre Sucesiones la cuota tributaria se obtendrá aplicando el siguiente coeficiente multiplicador:</w:t>
      </w:r>
    </w:p>
    <w:p w14:paraId="15B82EAA" w14:textId="77777777" w:rsidR="00EE1145" w:rsidRDefault="00EE1145">
      <w:pPr>
        <w:spacing w:line="280" w:lineRule="atLeast"/>
        <w:ind w:left="720"/>
        <w:jc w:val="both"/>
        <w:rPr>
          <w:rFonts w:ascii="Times New Roman" w:hAnsi="Times New Roman"/>
          <w:sz w:val="26"/>
          <w:szCs w:val="26"/>
          <w:lang w:val="es-ES"/>
        </w:rPr>
      </w:pPr>
    </w:p>
    <w:tbl>
      <w:tblPr>
        <w:tblW w:w="0" w:type="auto"/>
        <w:tblCellSpacing w:w="0" w:type="dxa"/>
        <w:tblInd w:w="1718" w:type="dxa"/>
        <w:tblBorders>
          <w:top w:val="outset" w:sz="6" w:space="0" w:color="auto"/>
          <w:left w:val="outset" w:sz="6" w:space="0" w:color="auto"/>
          <w:bottom w:val="outset" w:sz="6" w:space="0" w:color="auto"/>
          <w:right w:val="outset" w:sz="6" w:space="0" w:color="auto"/>
        </w:tblBorders>
        <w:tblLayout w:type="fixed"/>
        <w:tblCellMar>
          <w:top w:w="45" w:type="dxa"/>
          <w:left w:w="45" w:type="dxa"/>
          <w:bottom w:w="45" w:type="dxa"/>
          <w:right w:w="45" w:type="dxa"/>
        </w:tblCellMar>
        <w:tblLook w:val="0000" w:firstRow="0" w:lastRow="0" w:firstColumn="0" w:lastColumn="0" w:noHBand="0" w:noVBand="0"/>
      </w:tblPr>
      <w:tblGrid>
        <w:gridCol w:w="3445"/>
        <w:gridCol w:w="567"/>
        <w:gridCol w:w="567"/>
        <w:gridCol w:w="851"/>
        <w:gridCol w:w="601"/>
      </w:tblGrid>
      <w:tr w:rsidR="00EE1145" w14:paraId="00B29FD5" w14:textId="77777777">
        <w:trPr>
          <w:tblCellSpacing w:w="0" w:type="dxa"/>
        </w:trPr>
        <w:tc>
          <w:tcPr>
            <w:tcW w:w="3445" w:type="dxa"/>
            <w:tcBorders>
              <w:top w:val="outset" w:sz="6" w:space="0" w:color="auto"/>
              <w:left w:val="outset" w:sz="6" w:space="0" w:color="auto"/>
              <w:bottom w:val="outset" w:sz="6" w:space="0" w:color="auto"/>
              <w:right w:val="outset" w:sz="6" w:space="0" w:color="auto"/>
            </w:tcBorders>
            <w:vAlign w:val="center"/>
          </w:tcPr>
          <w:p w14:paraId="55E2FA3C"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Patrimonio preexistente €</w:t>
            </w:r>
          </w:p>
        </w:tc>
        <w:tc>
          <w:tcPr>
            <w:tcW w:w="567" w:type="dxa"/>
            <w:tcBorders>
              <w:top w:val="outset" w:sz="6" w:space="0" w:color="auto"/>
              <w:left w:val="outset" w:sz="6" w:space="0" w:color="auto"/>
              <w:bottom w:val="outset" w:sz="6" w:space="0" w:color="auto"/>
              <w:right w:val="outset" w:sz="6" w:space="0" w:color="auto"/>
            </w:tcBorders>
            <w:vAlign w:val="center"/>
          </w:tcPr>
          <w:p w14:paraId="7FA6BEC3"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 xml:space="preserve">I </w:t>
            </w:r>
          </w:p>
        </w:tc>
        <w:tc>
          <w:tcPr>
            <w:tcW w:w="567" w:type="dxa"/>
            <w:tcBorders>
              <w:top w:val="outset" w:sz="6" w:space="0" w:color="auto"/>
              <w:left w:val="outset" w:sz="6" w:space="0" w:color="auto"/>
              <w:bottom w:val="outset" w:sz="6" w:space="0" w:color="auto"/>
              <w:right w:val="outset" w:sz="6" w:space="0" w:color="auto"/>
            </w:tcBorders>
          </w:tcPr>
          <w:p w14:paraId="3AF13F6B"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II</w:t>
            </w:r>
          </w:p>
        </w:tc>
        <w:tc>
          <w:tcPr>
            <w:tcW w:w="851" w:type="dxa"/>
            <w:tcBorders>
              <w:top w:val="outset" w:sz="6" w:space="0" w:color="auto"/>
              <w:left w:val="outset" w:sz="6" w:space="0" w:color="auto"/>
              <w:bottom w:val="outset" w:sz="6" w:space="0" w:color="auto"/>
              <w:right w:val="outset" w:sz="6" w:space="0" w:color="auto"/>
            </w:tcBorders>
            <w:vAlign w:val="center"/>
          </w:tcPr>
          <w:p w14:paraId="541ABA05"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III</w:t>
            </w:r>
          </w:p>
        </w:tc>
        <w:tc>
          <w:tcPr>
            <w:tcW w:w="601" w:type="dxa"/>
            <w:tcBorders>
              <w:top w:val="outset" w:sz="6" w:space="0" w:color="auto"/>
              <w:left w:val="outset" w:sz="6" w:space="0" w:color="auto"/>
              <w:bottom w:val="outset" w:sz="6" w:space="0" w:color="auto"/>
              <w:right w:val="outset" w:sz="6" w:space="0" w:color="auto"/>
            </w:tcBorders>
            <w:vAlign w:val="center"/>
          </w:tcPr>
          <w:p w14:paraId="205F3CF7"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IV</w:t>
            </w:r>
          </w:p>
        </w:tc>
      </w:tr>
      <w:tr w:rsidR="00EE1145" w14:paraId="4FF89272" w14:textId="77777777">
        <w:trPr>
          <w:tblCellSpacing w:w="0" w:type="dxa"/>
        </w:trPr>
        <w:tc>
          <w:tcPr>
            <w:tcW w:w="3445" w:type="dxa"/>
            <w:tcBorders>
              <w:top w:val="outset" w:sz="6" w:space="0" w:color="auto"/>
              <w:left w:val="outset" w:sz="6" w:space="0" w:color="auto"/>
              <w:bottom w:val="outset" w:sz="6" w:space="0" w:color="auto"/>
              <w:right w:val="outset" w:sz="6" w:space="0" w:color="auto"/>
            </w:tcBorders>
          </w:tcPr>
          <w:p w14:paraId="5FAA6886" w14:textId="77777777" w:rsidR="00EE1145" w:rsidRDefault="00EE1145">
            <w:pPr>
              <w:overflowPunct/>
              <w:autoSpaceDE/>
              <w:autoSpaceDN/>
              <w:adjustRightInd/>
              <w:textAlignment w:val="auto"/>
              <w:rPr>
                <w:rFonts w:ascii="Times New Roman" w:hAnsi="Times New Roman"/>
                <w:lang w:val="es-ES"/>
              </w:rPr>
            </w:pPr>
            <w:r>
              <w:rPr>
                <w:rFonts w:ascii="Times New Roman" w:hAnsi="Times New Roman"/>
                <w:lang w:val="es-ES"/>
              </w:rPr>
              <w:t>De 0 a 402.678,11</w:t>
            </w:r>
          </w:p>
        </w:tc>
        <w:tc>
          <w:tcPr>
            <w:tcW w:w="567" w:type="dxa"/>
            <w:tcBorders>
              <w:top w:val="outset" w:sz="6" w:space="0" w:color="auto"/>
              <w:left w:val="outset" w:sz="6" w:space="0" w:color="auto"/>
              <w:bottom w:val="outset" w:sz="6" w:space="0" w:color="auto"/>
              <w:right w:val="outset" w:sz="6" w:space="0" w:color="auto"/>
            </w:tcBorders>
            <w:vAlign w:val="bottom"/>
          </w:tcPr>
          <w:p w14:paraId="2778B4B9"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0,00</w:t>
            </w:r>
          </w:p>
        </w:tc>
        <w:tc>
          <w:tcPr>
            <w:tcW w:w="567" w:type="dxa"/>
            <w:tcBorders>
              <w:top w:val="outset" w:sz="6" w:space="0" w:color="auto"/>
              <w:left w:val="outset" w:sz="6" w:space="0" w:color="auto"/>
              <w:bottom w:val="outset" w:sz="6" w:space="0" w:color="auto"/>
              <w:right w:val="outset" w:sz="6" w:space="0" w:color="auto"/>
            </w:tcBorders>
          </w:tcPr>
          <w:p w14:paraId="5CB9EC8E"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1,00</w:t>
            </w:r>
          </w:p>
        </w:tc>
        <w:tc>
          <w:tcPr>
            <w:tcW w:w="851" w:type="dxa"/>
            <w:tcBorders>
              <w:top w:val="outset" w:sz="6" w:space="0" w:color="auto"/>
              <w:left w:val="outset" w:sz="6" w:space="0" w:color="auto"/>
              <w:bottom w:val="outset" w:sz="6" w:space="0" w:color="auto"/>
              <w:right w:val="outset" w:sz="6" w:space="0" w:color="auto"/>
            </w:tcBorders>
            <w:vAlign w:val="bottom"/>
          </w:tcPr>
          <w:p w14:paraId="63B4EB23"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1,5882</w:t>
            </w:r>
          </w:p>
        </w:tc>
        <w:tc>
          <w:tcPr>
            <w:tcW w:w="601" w:type="dxa"/>
            <w:tcBorders>
              <w:top w:val="outset" w:sz="6" w:space="0" w:color="auto"/>
              <w:left w:val="outset" w:sz="6" w:space="0" w:color="auto"/>
              <w:bottom w:val="outset" w:sz="6" w:space="0" w:color="auto"/>
              <w:right w:val="outset" w:sz="6" w:space="0" w:color="auto"/>
            </w:tcBorders>
            <w:vAlign w:val="bottom"/>
          </w:tcPr>
          <w:p w14:paraId="2EAD789B"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2,00</w:t>
            </w:r>
          </w:p>
        </w:tc>
      </w:tr>
      <w:tr w:rsidR="00EE1145" w14:paraId="55EB42FA" w14:textId="77777777">
        <w:trPr>
          <w:tblCellSpacing w:w="0" w:type="dxa"/>
        </w:trPr>
        <w:tc>
          <w:tcPr>
            <w:tcW w:w="3445" w:type="dxa"/>
            <w:tcBorders>
              <w:top w:val="outset" w:sz="6" w:space="0" w:color="auto"/>
              <w:left w:val="outset" w:sz="6" w:space="0" w:color="auto"/>
              <w:bottom w:val="outset" w:sz="6" w:space="0" w:color="auto"/>
              <w:right w:val="outset" w:sz="6" w:space="0" w:color="auto"/>
            </w:tcBorders>
          </w:tcPr>
          <w:p w14:paraId="0E170BD7" w14:textId="77777777" w:rsidR="00EE1145" w:rsidRDefault="00EE1145">
            <w:pPr>
              <w:overflowPunct/>
              <w:autoSpaceDE/>
              <w:autoSpaceDN/>
              <w:adjustRightInd/>
              <w:textAlignment w:val="auto"/>
              <w:rPr>
                <w:rFonts w:ascii="Times New Roman" w:hAnsi="Times New Roman"/>
                <w:lang w:val="es-ES"/>
              </w:rPr>
            </w:pPr>
            <w:r>
              <w:rPr>
                <w:rFonts w:ascii="Times New Roman" w:hAnsi="Times New Roman"/>
                <w:lang w:val="es-ES"/>
              </w:rPr>
              <w:t>De más de 402.678,11 a 2.007.380,43</w:t>
            </w:r>
          </w:p>
        </w:tc>
        <w:tc>
          <w:tcPr>
            <w:tcW w:w="567" w:type="dxa"/>
            <w:tcBorders>
              <w:top w:val="outset" w:sz="6" w:space="0" w:color="auto"/>
              <w:left w:val="outset" w:sz="6" w:space="0" w:color="auto"/>
              <w:bottom w:val="outset" w:sz="6" w:space="0" w:color="auto"/>
              <w:right w:val="outset" w:sz="6" w:space="0" w:color="auto"/>
            </w:tcBorders>
            <w:vAlign w:val="bottom"/>
          </w:tcPr>
          <w:p w14:paraId="252DE437"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0,02</w:t>
            </w:r>
          </w:p>
        </w:tc>
        <w:tc>
          <w:tcPr>
            <w:tcW w:w="567" w:type="dxa"/>
            <w:tcBorders>
              <w:top w:val="outset" w:sz="6" w:space="0" w:color="auto"/>
              <w:left w:val="outset" w:sz="6" w:space="0" w:color="auto"/>
              <w:bottom w:val="outset" w:sz="6" w:space="0" w:color="auto"/>
              <w:right w:val="outset" w:sz="6" w:space="0" w:color="auto"/>
            </w:tcBorders>
          </w:tcPr>
          <w:p w14:paraId="6C98D2CB"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1,05</w:t>
            </w:r>
          </w:p>
        </w:tc>
        <w:tc>
          <w:tcPr>
            <w:tcW w:w="851" w:type="dxa"/>
            <w:tcBorders>
              <w:top w:val="outset" w:sz="6" w:space="0" w:color="auto"/>
              <w:left w:val="outset" w:sz="6" w:space="0" w:color="auto"/>
              <w:bottom w:val="outset" w:sz="6" w:space="0" w:color="auto"/>
              <w:right w:val="outset" w:sz="6" w:space="0" w:color="auto"/>
            </w:tcBorders>
            <w:vAlign w:val="bottom"/>
          </w:tcPr>
          <w:p w14:paraId="3DDB9428"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1,6676</w:t>
            </w:r>
          </w:p>
        </w:tc>
        <w:tc>
          <w:tcPr>
            <w:tcW w:w="601" w:type="dxa"/>
            <w:tcBorders>
              <w:top w:val="outset" w:sz="6" w:space="0" w:color="auto"/>
              <w:left w:val="outset" w:sz="6" w:space="0" w:color="auto"/>
              <w:bottom w:val="outset" w:sz="6" w:space="0" w:color="auto"/>
              <w:right w:val="outset" w:sz="6" w:space="0" w:color="auto"/>
            </w:tcBorders>
            <w:vAlign w:val="bottom"/>
          </w:tcPr>
          <w:p w14:paraId="2BCF9747"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2,10</w:t>
            </w:r>
          </w:p>
        </w:tc>
      </w:tr>
      <w:tr w:rsidR="00EE1145" w14:paraId="798F636D" w14:textId="77777777">
        <w:trPr>
          <w:tblCellSpacing w:w="0" w:type="dxa"/>
        </w:trPr>
        <w:tc>
          <w:tcPr>
            <w:tcW w:w="3445" w:type="dxa"/>
            <w:tcBorders>
              <w:top w:val="outset" w:sz="6" w:space="0" w:color="auto"/>
              <w:left w:val="outset" w:sz="6" w:space="0" w:color="auto"/>
              <w:bottom w:val="outset" w:sz="6" w:space="0" w:color="auto"/>
              <w:right w:val="outset" w:sz="6" w:space="0" w:color="auto"/>
            </w:tcBorders>
          </w:tcPr>
          <w:p w14:paraId="3D7555E6" w14:textId="77777777" w:rsidR="00EE1145" w:rsidRDefault="00EE1145">
            <w:pPr>
              <w:overflowPunct/>
              <w:autoSpaceDE/>
              <w:autoSpaceDN/>
              <w:adjustRightInd/>
              <w:textAlignment w:val="auto"/>
              <w:rPr>
                <w:rFonts w:ascii="Times New Roman" w:hAnsi="Times New Roman"/>
                <w:lang w:val="es-ES"/>
              </w:rPr>
            </w:pPr>
            <w:r>
              <w:rPr>
                <w:rFonts w:ascii="Times New Roman" w:hAnsi="Times New Roman"/>
                <w:lang w:val="es-ES"/>
              </w:rPr>
              <w:t>De más de 2.007.380,43 a 4.020.770,98</w:t>
            </w:r>
          </w:p>
        </w:tc>
        <w:tc>
          <w:tcPr>
            <w:tcW w:w="567" w:type="dxa"/>
            <w:tcBorders>
              <w:top w:val="outset" w:sz="6" w:space="0" w:color="auto"/>
              <w:left w:val="outset" w:sz="6" w:space="0" w:color="auto"/>
              <w:bottom w:val="outset" w:sz="6" w:space="0" w:color="auto"/>
              <w:right w:val="outset" w:sz="6" w:space="0" w:color="auto"/>
            </w:tcBorders>
            <w:vAlign w:val="bottom"/>
          </w:tcPr>
          <w:p w14:paraId="596D33AB"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0,03</w:t>
            </w:r>
          </w:p>
        </w:tc>
        <w:tc>
          <w:tcPr>
            <w:tcW w:w="567" w:type="dxa"/>
            <w:tcBorders>
              <w:top w:val="outset" w:sz="6" w:space="0" w:color="auto"/>
              <w:left w:val="outset" w:sz="6" w:space="0" w:color="auto"/>
              <w:bottom w:val="outset" w:sz="6" w:space="0" w:color="auto"/>
              <w:right w:val="outset" w:sz="6" w:space="0" w:color="auto"/>
            </w:tcBorders>
          </w:tcPr>
          <w:p w14:paraId="4D63FC2A"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1,10</w:t>
            </w:r>
          </w:p>
        </w:tc>
        <w:tc>
          <w:tcPr>
            <w:tcW w:w="851" w:type="dxa"/>
            <w:tcBorders>
              <w:top w:val="outset" w:sz="6" w:space="0" w:color="auto"/>
              <w:left w:val="outset" w:sz="6" w:space="0" w:color="auto"/>
              <w:bottom w:val="outset" w:sz="6" w:space="0" w:color="auto"/>
              <w:right w:val="outset" w:sz="6" w:space="0" w:color="auto"/>
            </w:tcBorders>
            <w:vAlign w:val="bottom"/>
          </w:tcPr>
          <w:p w14:paraId="0FCDB752"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1,7471</w:t>
            </w:r>
          </w:p>
        </w:tc>
        <w:tc>
          <w:tcPr>
            <w:tcW w:w="601" w:type="dxa"/>
            <w:tcBorders>
              <w:top w:val="outset" w:sz="6" w:space="0" w:color="auto"/>
              <w:left w:val="outset" w:sz="6" w:space="0" w:color="auto"/>
              <w:bottom w:val="outset" w:sz="6" w:space="0" w:color="auto"/>
              <w:right w:val="outset" w:sz="6" w:space="0" w:color="auto"/>
            </w:tcBorders>
            <w:vAlign w:val="bottom"/>
          </w:tcPr>
          <w:p w14:paraId="61FE7305"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2,20</w:t>
            </w:r>
          </w:p>
        </w:tc>
      </w:tr>
      <w:tr w:rsidR="00EE1145" w14:paraId="4DD16984" w14:textId="77777777">
        <w:trPr>
          <w:tblCellSpacing w:w="0" w:type="dxa"/>
        </w:trPr>
        <w:tc>
          <w:tcPr>
            <w:tcW w:w="3445" w:type="dxa"/>
            <w:tcBorders>
              <w:top w:val="outset" w:sz="6" w:space="0" w:color="auto"/>
              <w:left w:val="outset" w:sz="6" w:space="0" w:color="auto"/>
              <w:bottom w:val="outset" w:sz="6" w:space="0" w:color="auto"/>
              <w:right w:val="outset" w:sz="6" w:space="0" w:color="auto"/>
            </w:tcBorders>
          </w:tcPr>
          <w:p w14:paraId="0CE639EC" w14:textId="77777777" w:rsidR="00EE1145" w:rsidRDefault="00EE1145">
            <w:pPr>
              <w:overflowPunct/>
              <w:autoSpaceDE/>
              <w:autoSpaceDN/>
              <w:adjustRightInd/>
              <w:textAlignment w:val="auto"/>
              <w:rPr>
                <w:rFonts w:ascii="Times New Roman" w:hAnsi="Times New Roman"/>
                <w:lang w:val="es-ES"/>
              </w:rPr>
            </w:pPr>
            <w:r>
              <w:rPr>
                <w:rFonts w:ascii="Times New Roman" w:hAnsi="Times New Roman"/>
                <w:lang w:val="es-ES"/>
              </w:rPr>
              <w:t>Más de 4.020.770,98</w:t>
            </w:r>
          </w:p>
        </w:tc>
        <w:tc>
          <w:tcPr>
            <w:tcW w:w="567" w:type="dxa"/>
            <w:tcBorders>
              <w:top w:val="outset" w:sz="6" w:space="0" w:color="auto"/>
              <w:left w:val="outset" w:sz="6" w:space="0" w:color="auto"/>
              <w:bottom w:val="outset" w:sz="6" w:space="0" w:color="auto"/>
              <w:right w:val="outset" w:sz="6" w:space="0" w:color="auto"/>
            </w:tcBorders>
            <w:vAlign w:val="bottom"/>
          </w:tcPr>
          <w:p w14:paraId="7748C6CE"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0,04</w:t>
            </w:r>
          </w:p>
        </w:tc>
        <w:tc>
          <w:tcPr>
            <w:tcW w:w="567" w:type="dxa"/>
            <w:tcBorders>
              <w:top w:val="outset" w:sz="6" w:space="0" w:color="auto"/>
              <w:left w:val="outset" w:sz="6" w:space="0" w:color="auto"/>
              <w:bottom w:val="outset" w:sz="6" w:space="0" w:color="auto"/>
              <w:right w:val="outset" w:sz="6" w:space="0" w:color="auto"/>
            </w:tcBorders>
          </w:tcPr>
          <w:p w14:paraId="3DFFD641"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1,20</w:t>
            </w:r>
          </w:p>
        </w:tc>
        <w:tc>
          <w:tcPr>
            <w:tcW w:w="851" w:type="dxa"/>
            <w:tcBorders>
              <w:top w:val="outset" w:sz="6" w:space="0" w:color="auto"/>
              <w:left w:val="outset" w:sz="6" w:space="0" w:color="auto"/>
              <w:bottom w:val="outset" w:sz="6" w:space="0" w:color="auto"/>
              <w:right w:val="outset" w:sz="6" w:space="0" w:color="auto"/>
            </w:tcBorders>
            <w:vAlign w:val="bottom"/>
          </w:tcPr>
          <w:p w14:paraId="1ACB5A8D"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1,9059</w:t>
            </w:r>
          </w:p>
        </w:tc>
        <w:tc>
          <w:tcPr>
            <w:tcW w:w="601" w:type="dxa"/>
            <w:tcBorders>
              <w:top w:val="outset" w:sz="6" w:space="0" w:color="auto"/>
              <w:left w:val="outset" w:sz="6" w:space="0" w:color="auto"/>
              <w:bottom w:val="outset" w:sz="6" w:space="0" w:color="auto"/>
              <w:right w:val="outset" w:sz="6" w:space="0" w:color="auto"/>
            </w:tcBorders>
            <w:vAlign w:val="bottom"/>
          </w:tcPr>
          <w:p w14:paraId="065D8C06" w14:textId="77777777" w:rsidR="00EE1145" w:rsidRDefault="00EE1145">
            <w:pPr>
              <w:overflowPunct/>
              <w:autoSpaceDE/>
              <w:autoSpaceDN/>
              <w:adjustRightInd/>
              <w:jc w:val="center"/>
              <w:textAlignment w:val="auto"/>
              <w:rPr>
                <w:rFonts w:ascii="Times New Roman" w:hAnsi="Times New Roman"/>
                <w:sz w:val="24"/>
                <w:szCs w:val="24"/>
                <w:lang w:val="es-ES"/>
              </w:rPr>
            </w:pPr>
            <w:r>
              <w:rPr>
                <w:rFonts w:ascii="Times New Roman" w:hAnsi="Times New Roman"/>
                <w:sz w:val="24"/>
                <w:szCs w:val="24"/>
                <w:lang w:val="es-ES"/>
              </w:rPr>
              <w:t>2,40</w:t>
            </w:r>
          </w:p>
        </w:tc>
      </w:tr>
    </w:tbl>
    <w:p w14:paraId="75C9D4A7" w14:textId="77777777" w:rsidR="00EE1145" w:rsidRDefault="00EE1145">
      <w:pPr>
        <w:spacing w:line="280" w:lineRule="atLeast"/>
        <w:ind w:left="360"/>
        <w:jc w:val="both"/>
        <w:rPr>
          <w:rFonts w:ascii="Times New Roman" w:hAnsi="Times New Roman"/>
          <w:spacing w:val="6"/>
          <w:sz w:val="26"/>
          <w:szCs w:val="26"/>
          <w:u w:val="single"/>
        </w:rPr>
      </w:pPr>
    </w:p>
    <w:p w14:paraId="5AEFF37E" w14:textId="77777777" w:rsidR="00EE1145" w:rsidRDefault="00EE1145" w:rsidP="00C854F8">
      <w:pPr>
        <w:numPr>
          <w:ilvl w:val="2"/>
          <w:numId w:val="15"/>
        </w:numPr>
        <w:tabs>
          <w:tab w:val="clear" w:pos="1440"/>
          <w:tab w:val="num" w:pos="1080"/>
          <w:tab w:val="left" w:pos="1134"/>
        </w:tabs>
        <w:spacing w:line="280" w:lineRule="atLeast"/>
        <w:ind w:left="864"/>
        <w:jc w:val="both"/>
        <w:rPr>
          <w:b/>
          <w:color w:val="000000"/>
          <w:spacing w:val="6"/>
          <w:sz w:val="22"/>
          <w:szCs w:val="22"/>
        </w:rPr>
      </w:pPr>
      <w:bookmarkStart w:id="200" w:name="t482"/>
      <w:bookmarkStart w:id="201" w:name="tra492"/>
      <w:bookmarkEnd w:id="200"/>
      <w:bookmarkEnd w:id="201"/>
      <w:r>
        <w:rPr>
          <w:rFonts w:ascii="Times New Roman" w:hAnsi="Times New Roman"/>
          <w:b/>
          <w:color w:val="000000"/>
          <w:spacing w:val="6"/>
          <w:sz w:val="26"/>
          <w:szCs w:val="26"/>
        </w:rPr>
        <w:t>Tratamiento notarial</w:t>
      </w:r>
    </w:p>
    <w:p w14:paraId="425D071C" w14:textId="77777777" w:rsidR="00EE1145" w:rsidRDefault="00EE1145">
      <w:pPr>
        <w:ind w:left="720"/>
        <w:jc w:val="both"/>
        <w:rPr>
          <w:rFonts w:ascii="CG Times" w:hAnsi="CG Times"/>
          <w:sz w:val="26"/>
          <w:szCs w:val="26"/>
        </w:rPr>
      </w:pPr>
      <w:r>
        <w:rPr>
          <w:rFonts w:ascii="CG Times" w:hAnsi="CG Times"/>
          <w:sz w:val="26"/>
          <w:szCs w:val="26"/>
        </w:rPr>
        <w:t xml:space="preserve">Incluir la anterior cláusula en la Exposición (eligiendo las opciones correspondientes). </w:t>
      </w:r>
    </w:p>
    <w:p w14:paraId="05E68AF4" w14:textId="77777777" w:rsidR="00EE1145" w:rsidRDefault="00EE1145" w:rsidP="009657C4">
      <w:pPr>
        <w:spacing w:after="60"/>
        <w:ind w:left="720"/>
        <w:jc w:val="both"/>
        <w:rPr>
          <w:rFonts w:ascii="CG Times" w:hAnsi="CG Times"/>
          <w:sz w:val="26"/>
          <w:szCs w:val="26"/>
        </w:rPr>
      </w:pPr>
      <w:r>
        <w:rPr>
          <w:rFonts w:ascii="CG Times" w:hAnsi="CG Times"/>
          <w:sz w:val="26"/>
          <w:szCs w:val="26"/>
        </w:rPr>
        <w:lastRenderedPageBreak/>
        <w:t>De donde resulta que d</w:t>
      </w:r>
      <w:r>
        <w:rPr>
          <w:bCs/>
          <w:color w:val="000000"/>
          <w:spacing w:val="6"/>
          <w:sz w:val="26"/>
          <w:szCs w:val="26"/>
          <w:lang w:val="es-ES"/>
        </w:rPr>
        <w:t xml:space="preserve">esde la </w:t>
      </w:r>
      <w:hyperlink r:id="rId313" w:history="1">
        <w:r>
          <w:rPr>
            <w:rStyle w:val="Hipervnculo"/>
            <w:bCs/>
            <w:spacing w:val="6"/>
            <w:sz w:val="26"/>
            <w:szCs w:val="26"/>
            <w:lang w:val="es-ES"/>
          </w:rPr>
          <w:t>Ley 6/2003</w:t>
        </w:r>
      </w:hyperlink>
      <w:r>
        <w:rPr>
          <w:bCs/>
          <w:color w:val="000000"/>
          <w:spacing w:val="6"/>
          <w:sz w:val="26"/>
          <w:szCs w:val="26"/>
          <w:lang w:val="es-ES"/>
        </w:rPr>
        <w:t xml:space="preserve">, para Sucesiones entre el 1 de enero de 2004 y la actualidad (pues el beneficio se ha mantenido parecido en las siguientes reformas), </w:t>
      </w:r>
      <w:r>
        <w:rPr>
          <w:rFonts w:ascii="Times New Roman" w:hAnsi="Times New Roman"/>
          <w:sz w:val="26"/>
          <w:szCs w:val="26"/>
        </w:rPr>
        <w:t xml:space="preserve">los del </w:t>
      </w:r>
      <w:hyperlink r:id="rId314" w:anchor="a20" w:history="1">
        <w:r>
          <w:rPr>
            <w:rStyle w:val="Hipervnculo"/>
            <w:rFonts w:ascii="CG Times" w:hAnsi="CG Times"/>
            <w:sz w:val="26"/>
            <w:szCs w:val="26"/>
          </w:rPr>
          <w:t>Grupo I</w:t>
        </w:r>
      </w:hyperlink>
      <w:r>
        <w:rPr>
          <w:rFonts w:ascii="Times New Roman" w:hAnsi="Times New Roman"/>
          <w:sz w:val="26"/>
          <w:szCs w:val="26"/>
        </w:rPr>
        <w:t xml:space="preserve"> casi no pagan al establecerse coeficientes multiplicadores de cero o próximos.</w:t>
      </w:r>
    </w:p>
    <w:p w14:paraId="786D5494" w14:textId="77777777" w:rsidR="00EE1145" w:rsidRDefault="00EE1145" w:rsidP="00C854F8">
      <w:pPr>
        <w:numPr>
          <w:ilvl w:val="1"/>
          <w:numId w:val="15"/>
        </w:numPr>
        <w:tabs>
          <w:tab w:val="clear" w:pos="792"/>
          <w:tab w:val="num" w:pos="432"/>
          <w:tab w:val="left" w:pos="567"/>
        </w:tabs>
        <w:spacing w:line="280" w:lineRule="atLeast"/>
        <w:ind w:left="432"/>
        <w:jc w:val="both"/>
        <w:rPr>
          <w:b/>
          <w:spacing w:val="6"/>
          <w:sz w:val="22"/>
          <w:szCs w:val="22"/>
        </w:rPr>
      </w:pPr>
      <w:bookmarkStart w:id="202" w:name="D9"/>
      <w:bookmarkEnd w:id="202"/>
      <w:r>
        <w:rPr>
          <w:b/>
          <w:spacing w:val="6"/>
          <w:sz w:val="26"/>
          <w:szCs w:val="26"/>
        </w:rPr>
        <w:t>Bonificación del 100% en la cuota para causahabientes con minusvalía del 65% y patrimonio no superior a 402.678,11 € (desde el 01/01/2017)</w:t>
      </w:r>
    </w:p>
    <w:p w14:paraId="1552BCD6" w14:textId="77777777" w:rsidR="00EE1145" w:rsidRDefault="00EE1145" w:rsidP="00C854F8">
      <w:pPr>
        <w:numPr>
          <w:ilvl w:val="2"/>
          <w:numId w:val="15"/>
        </w:numPr>
        <w:tabs>
          <w:tab w:val="clear" w:pos="1440"/>
          <w:tab w:val="num" w:pos="1080"/>
          <w:tab w:val="left" w:pos="1134"/>
        </w:tabs>
        <w:spacing w:line="280" w:lineRule="atLeast"/>
        <w:ind w:left="864"/>
        <w:jc w:val="both"/>
        <w:rPr>
          <w:b/>
          <w:spacing w:val="6"/>
          <w:sz w:val="22"/>
          <w:szCs w:val="22"/>
        </w:rPr>
      </w:pPr>
      <w:bookmarkStart w:id="203" w:name="l491"/>
      <w:bookmarkEnd w:id="203"/>
      <w:r>
        <w:rPr>
          <w:rFonts w:ascii="Times New Roman" w:hAnsi="Times New Roman"/>
          <w:b/>
          <w:spacing w:val="6"/>
          <w:sz w:val="26"/>
          <w:szCs w:val="26"/>
        </w:rPr>
        <w:t>Legislación, vigor y reseña de su contenido</w:t>
      </w:r>
    </w:p>
    <w:p w14:paraId="22231604" w14:textId="77777777" w:rsidR="00EE1145" w:rsidRDefault="00EE1145">
      <w:pPr>
        <w:spacing w:line="280" w:lineRule="atLeast"/>
        <w:ind w:left="1080"/>
        <w:jc w:val="both"/>
        <w:rPr>
          <w:rFonts w:ascii="Times New Roman" w:hAnsi="Times New Roman"/>
          <w:sz w:val="26"/>
          <w:szCs w:val="26"/>
          <w:lang w:val="es-ES"/>
        </w:rPr>
      </w:pPr>
      <w:hyperlink r:id="rId315" w:anchor="a20" w:history="1">
        <w:r>
          <w:rPr>
            <w:rStyle w:val="Hipervnculo"/>
            <w:rFonts w:ascii="Times New Roman" w:hAnsi="Times New Roman"/>
            <w:sz w:val="26"/>
            <w:szCs w:val="26"/>
            <w:lang w:val="es-ES"/>
          </w:rPr>
          <w:t>Art. 23 del Decreto-legislativo asturiano 2/2014</w:t>
        </w:r>
      </w:hyperlink>
      <w:r>
        <w:rPr>
          <w:rFonts w:ascii="Times New Roman" w:hAnsi="Times New Roman"/>
          <w:sz w:val="26"/>
          <w:szCs w:val="26"/>
          <w:lang w:val="es-ES"/>
        </w:rPr>
        <w:t xml:space="preserve"> </w:t>
      </w:r>
      <w:r>
        <w:rPr>
          <w:spacing w:val="6"/>
          <w:sz w:val="26"/>
          <w:szCs w:val="26"/>
        </w:rPr>
        <w:t xml:space="preserve">(redactado por la </w:t>
      </w:r>
      <w:hyperlink r:id="rId316" w:history="1">
        <w:r>
          <w:rPr>
            <w:rStyle w:val="Hipervnculo"/>
            <w:rFonts w:ascii="Times New Roman" w:hAnsi="Times New Roman"/>
            <w:sz w:val="26"/>
            <w:szCs w:val="26"/>
          </w:rPr>
          <w:t>Ley 6/2016</w:t>
        </w:r>
      </w:hyperlink>
      <w:r>
        <w:rPr>
          <w:rFonts w:ascii="Times New Roman" w:hAnsi="Times New Roman"/>
          <w:sz w:val="26"/>
          <w:szCs w:val="26"/>
        </w:rPr>
        <w:t xml:space="preserve">, </w:t>
      </w:r>
      <w:r>
        <w:rPr>
          <w:spacing w:val="6"/>
          <w:sz w:val="26"/>
          <w:szCs w:val="26"/>
        </w:rPr>
        <w:t>con entrada en vigor el día 1 de enero de 2017)</w:t>
      </w:r>
      <w:r>
        <w:rPr>
          <w:rFonts w:ascii="Times New Roman" w:hAnsi="Times New Roman"/>
          <w:sz w:val="26"/>
          <w:szCs w:val="26"/>
          <w:lang w:val="es-ES"/>
        </w:rPr>
        <w:t xml:space="preserve">, en el Impuesto sobre Sucesiones a los </w:t>
      </w:r>
      <w:r>
        <w:rPr>
          <w:rFonts w:ascii="Times New Roman" w:hAnsi="Times New Roman"/>
          <w:sz w:val="26"/>
          <w:szCs w:val="26"/>
        </w:rPr>
        <w:t>contribuyentes con un grado de minusvalía reconocido igual o superior al 65 % se aplicará una bonificación del 100 % de la cuota que resulte después de aplicar las deducciones estatales y autonómicas que, en su caso, resulten aplicables, siempre que su patrimonio preexistente no sea superior a 402.678,11 €</w:t>
      </w:r>
      <w:r>
        <w:rPr>
          <w:rFonts w:ascii="Times New Roman" w:hAnsi="Times New Roman"/>
          <w:sz w:val="26"/>
          <w:szCs w:val="26"/>
          <w:lang w:val="es-ES"/>
        </w:rPr>
        <w:t>.</w:t>
      </w:r>
    </w:p>
    <w:p w14:paraId="37105ABD" w14:textId="77777777" w:rsidR="000A1DB8" w:rsidRPr="000A1DB8" w:rsidRDefault="000A1DB8" w:rsidP="000A1DB8">
      <w:pPr>
        <w:spacing w:line="280" w:lineRule="atLeast"/>
        <w:ind w:left="1080"/>
        <w:jc w:val="both"/>
        <w:rPr>
          <w:rFonts w:ascii="Times New Roman" w:hAnsi="Times New Roman"/>
          <w:sz w:val="26"/>
          <w:szCs w:val="26"/>
          <w:lang w:val="es-ES"/>
        </w:rPr>
      </w:pPr>
      <w:r>
        <w:rPr>
          <w:rFonts w:ascii="Times New Roman" w:hAnsi="Times New Roman"/>
          <w:sz w:val="26"/>
          <w:szCs w:val="26"/>
          <w:lang w:val="es-ES"/>
        </w:rPr>
        <w:t xml:space="preserve">Además es de tener presente la reducción estatal del </w:t>
      </w:r>
      <w:hyperlink r:id="rId317" w:anchor="a20" w:history="1">
        <w:r w:rsidRPr="000A1DB8">
          <w:rPr>
            <w:rStyle w:val="Hipervnculo"/>
            <w:rFonts w:ascii="Times New Roman" w:hAnsi="Times New Roman"/>
            <w:sz w:val="26"/>
            <w:szCs w:val="26"/>
            <w:lang w:val="es-ES"/>
          </w:rPr>
          <w:t>art. 20-2 de la Ley 29/1987</w:t>
        </w:r>
      </w:hyperlink>
      <w:r>
        <w:rPr>
          <w:rFonts w:ascii="Times New Roman" w:hAnsi="Times New Roman"/>
          <w:sz w:val="26"/>
          <w:szCs w:val="26"/>
          <w:lang w:val="es-ES"/>
        </w:rPr>
        <w:t xml:space="preserve">, adicional a la que pueda corresponder por parentesco, de </w:t>
      </w:r>
      <w:r w:rsidRPr="000A1DB8">
        <w:rPr>
          <w:rFonts w:ascii="Times New Roman" w:hAnsi="Times New Roman"/>
          <w:sz w:val="26"/>
          <w:szCs w:val="26"/>
          <w:lang w:val="es-ES"/>
        </w:rPr>
        <w:t>47.858,59 euros</w:t>
      </w:r>
      <w:r>
        <w:rPr>
          <w:rFonts w:ascii="Times New Roman" w:hAnsi="Times New Roman"/>
          <w:sz w:val="26"/>
          <w:szCs w:val="26"/>
          <w:lang w:val="es-ES"/>
        </w:rPr>
        <w:t xml:space="preserve"> para minusvalías entre 33 y 64%, y de</w:t>
      </w:r>
      <w:r w:rsidRPr="000A1DB8">
        <w:rPr>
          <w:rFonts w:ascii="Times New Roman" w:hAnsi="Times New Roman"/>
          <w:sz w:val="26"/>
          <w:szCs w:val="26"/>
          <w:lang w:val="es-ES"/>
        </w:rPr>
        <w:t xml:space="preserve"> 150.253,03 euros para</w:t>
      </w:r>
      <w:r>
        <w:rPr>
          <w:rFonts w:ascii="Times New Roman" w:hAnsi="Times New Roman"/>
          <w:sz w:val="26"/>
          <w:szCs w:val="26"/>
          <w:lang w:val="es-ES"/>
        </w:rPr>
        <w:t xml:space="preserve"> minusvalías iguales o superiores al 65%</w:t>
      </w:r>
      <w:r w:rsidRPr="000A1DB8">
        <w:rPr>
          <w:rFonts w:ascii="Times New Roman" w:hAnsi="Times New Roman"/>
          <w:sz w:val="26"/>
          <w:szCs w:val="26"/>
          <w:lang w:val="es-ES"/>
        </w:rPr>
        <w:t>.</w:t>
      </w:r>
    </w:p>
    <w:p w14:paraId="0975E2D9" w14:textId="77777777" w:rsidR="00EE1145" w:rsidRDefault="00EE1145" w:rsidP="00C854F8">
      <w:pPr>
        <w:numPr>
          <w:ilvl w:val="2"/>
          <w:numId w:val="15"/>
        </w:numPr>
        <w:tabs>
          <w:tab w:val="clear" w:pos="1440"/>
          <w:tab w:val="num" w:pos="1080"/>
          <w:tab w:val="left" w:pos="1134"/>
        </w:tabs>
        <w:spacing w:line="280" w:lineRule="atLeast"/>
        <w:ind w:left="864"/>
        <w:jc w:val="both"/>
        <w:rPr>
          <w:b/>
          <w:spacing w:val="6"/>
          <w:sz w:val="22"/>
          <w:szCs w:val="22"/>
        </w:rPr>
      </w:pPr>
      <w:bookmarkStart w:id="204" w:name="t492"/>
      <w:bookmarkEnd w:id="204"/>
      <w:r>
        <w:rPr>
          <w:b/>
          <w:color w:val="000000"/>
          <w:spacing w:val="6"/>
          <w:sz w:val="26"/>
          <w:szCs w:val="26"/>
        </w:rPr>
        <w:t>Tratamiento notarial</w:t>
      </w:r>
    </w:p>
    <w:p w14:paraId="0A8C5EAD" w14:textId="77777777" w:rsidR="00EE1145" w:rsidRDefault="00EE1145" w:rsidP="009657C4">
      <w:pPr>
        <w:spacing w:after="60"/>
        <w:ind w:left="1077"/>
        <w:jc w:val="both"/>
        <w:rPr>
          <w:rFonts w:ascii="CG Times" w:hAnsi="CG Times"/>
          <w:sz w:val="26"/>
          <w:szCs w:val="26"/>
        </w:rPr>
      </w:pPr>
      <w:r>
        <w:rPr>
          <w:rFonts w:ascii="CG Times" w:hAnsi="CG Times"/>
          <w:sz w:val="26"/>
          <w:szCs w:val="26"/>
        </w:rPr>
        <w:t>Incluir la anterior cláusula en la Exposición (eligiendo las opciones correspondientes).</w:t>
      </w:r>
    </w:p>
    <w:p w14:paraId="4618BD08" w14:textId="77777777" w:rsidR="00EE1145" w:rsidRDefault="00EE1145" w:rsidP="00C854F8">
      <w:pPr>
        <w:numPr>
          <w:ilvl w:val="1"/>
          <w:numId w:val="15"/>
        </w:numPr>
        <w:tabs>
          <w:tab w:val="clear" w:pos="792"/>
          <w:tab w:val="num" w:pos="432"/>
          <w:tab w:val="left" w:pos="567"/>
        </w:tabs>
        <w:spacing w:line="280" w:lineRule="atLeast"/>
        <w:ind w:left="432"/>
        <w:jc w:val="both"/>
        <w:rPr>
          <w:b/>
          <w:spacing w:val="6"/>
          <w:sz w:val="22"/>
          <w:szCs w:val="22"/>
        </w:rPr>
      </w:pPr>
      <w:bookmarkStart w:id="205" w:name="D10"/>
      <w:bookmarkEnd w:id="205"/>
      <w:r>
        <w:rPr>
          <w:b/>
          <w:color w:val="000000"/>
          <w:spacing w:val="6"/>
          <w:sz w:val="26"/>
          <w:szCs w:val="26"/>
        </w:rPr>
        <w:t>Bonificación del 100% en la cuota, para causahabientes Grupo II o con minusvalía del 65%, y patrimonio</w:t>
      </w:r>
      <w:r>
        <w:rPr>
          <w:b/>
          <w:spacing w:val="6"/>
          <w:sz w:val="26"/>
          <w:szCs w:val="26"/>
        </w:rPr>
        <w:t xml:space="preserve"> no superior a 402.678,11 €, si la base imponible no es superior a 150.000 € (desde el 01/01/2009 hasta el 31/12/2016)</w:t>
      </w:r>
    </w:p>
    <w:p w14:paraId="3E18BFDC" w14:textId="77777777" w:rsidR="00EE1145" w:rsidRDefault="00EE1145" w:rsidP="00C854F8">
      <w:pPr>
        <w:numPr>
          <w:ilvl w:val="2"/>
          <w:numId w:val="15"/>
        </w:numPr>
        <w:tabs>
          <w:tab w:val="clear" w:pos="1440"/>
          <w:tab w:val="left" w:pos="993"/>
          <w:tab w:val="num" w:pos="1080"/>
          <w:tab w:val="left" w:pos="1134"/>
          <w:tab w:val="left" w:pos="1276"/>
        </w:tabs>
        <w:spacing w:line="280" w:lineRule="atLeast"/>
        <w:ind w:left="864"/>
        <w:jc w:val="both"/>
        <w:rPr>
          <w:b/>
          <w:spacing w:val="6"/>
          <w:sz w:val="22"/>
          <w:szCs w:val="22"/>
        </w:rPr>
      </w:pPr>
      <w:bookmarkStart w:id="206" w:name="l4101"/>
      <w:bookmarkEnd w:id="206"/>
      <w:r>
        <w:rPr>
          <w:rFonts w:ascii="Times New Roman" w:hAnsi="Times New Roman"/>
          <w:b/>
          <w:spacing w:val="6"/>
          <w:sz w:val="26"/>
          <w:szCs w:val="26"/>
        </w:rPr>
        <w:t>Legislación, vigor y reseña de su contenido</w:t>
      </w:r>
    </w:p>
    <w:bookmarkStart w:id="207" w:name="t4102"/>
    <w:bookmarkEnd w:id="207"/>
    <w:p w14:paraId="56854099" w14:textId="77777777" w:rsidR="00EE1145" w:rsidRDefault="00EE1145">
      <w:pPr>
        <w:spacing w:line="280" w:lineRule="atLeast"/>
        <w:ind w:left="1080"/>
        <w:jc w:val="both"/>
        <w:rPr>
          <w:rFonts w:ascii="Times New Roman" w:hAnsi="Times New Roman"/>
          <w:sz w:val="26"/>
          <w:szCs w:val="26"/>
          <w:lang w:val="es-ES"/>
        </w:rPr>
      </w:pPr>
      <w:r>
        <w:rPr>
          <w:rFonts w:ascii="Times New Roman" w:hAnsi="Times New Roman"/>
          <w:sz w:val="26"/>
          <w:szCs w:val="26"/>
          <w:lang w:val="es-ES"/>
        </w:rPr>
        <w:fldChar w:fldCharType="begin"/>
      </w:r>
      <w:r>
        <w:rPr>
          <w:rFonts w:ascii="Times New Roman" w:hAnsi="Times New Roman"/>
          <w:sz w:val="26"/>
          <w:szCs w:val="26"/>
          <w:lang w:val="es-ES"/>
        </w:rPr>
        <w:instrText xml:space="preserve"> HYPERLINK "http://noticias.juridicas.com/base_datos/Anterior/r1-538599-decreto-legislativo-2-2014-de-22-de-octubre-por-el-que-se-aprueba-el-texto.html" \l "a23" </w:instrText>
      </w:r>
      <w:r>
        <w:rPr>
          <w:rFonts w:ascii="Times New Roman" w:hAnsi="Times New Roman"/>
          <w:sz w:val="26"/>
          <w:szCs w:val="26"/>
          <w:lang w:val="es-ES"/>
        </w:rPr>
      </w:r>
      <w:r>
        <w:rPr>
          <w:rFonts w:ascii="Times New Roman" w:hAnsi="Times New Roman"/>
          <w:sz w:val="26"/>
          <w:szCs w:val="26"/>
          <w:lang w:val="es-ES"/>
        </w:rPr>
        <w:fldChar w:fldCharType="separate"/>
      </w:r>
      <w:r>
        <w:rPr>
          <w:rStyle w:val="Hipervnculo"/>
          <w:rFonts w:ascii="Times New Roman" w:hAnsi="Times New Roman"/>
          <w:sz w:val="26"/>
          <w:szCs w:val="26"/>
          <w:lang w:val="es-ES"/>
        </w:rPr>
        <w:t>Art. 23 del Decreto-legislativo asturiano 2/2014</w:t>
      </w:r>
      <w:r>
        <w:rPr>
          <w:rFonts w:ascii="Times New Roman" w:hAnsi="Times New Roman"/>
          <w:sz w:val="26"/>
          <w:szCs w:val="26"/>
          <w:lang w:val="es-ES"/>
        </w:rPr>
        <w:fldChar w:fldCharType="end"/>
      </w:r>
      <w:r>
        <w:rPr>
          <w:rFonts w:ascii="Times New Roman" w:hAnsi="Times New Roman"/>
          <w:sz w:val="26"/>
          <w:szCs w:val="26"/>
          <w:lang w:val="es-ES"/>
        </w:rPr>
        <w:t xml:space="preserve"> </w:t>
      </w:r>
      <w:r>
        <w:rPr>
          <w:spacing w:val="6"/>
          <w:sz w:val="26"/>
          <w:szCs w:val="26"/>
        </w:rPr>
        <w:t xml:space="preserve">(que proviene de la </w:t>
      </w:r>
      <w:hyperlink r:id="rId318" w:history="1">
        <w:r>
          <w:rPr>
            <w:rStyle w:val="Hipervnculo"/>
            <w:bCs/>
            <w:spacing w:val="6"/>
            <w:sz w:val="26"/>
            <w:szCs w:val="26"/>
            <w:lang w:val="es-ES"/>
          </w:rPr>
          <w:t>Ley 6/2008</w:t>
        </w:r>
      </w:hyperlink>
      <w:r>
        <w:rPr>
          <w:rStyle w:val="Refdenotaalfinal"/>
          <w:b/>
          <w:bCs/>
          <w:color w:val="000000"/>
          <w:spacing w:val="6"/>
          <w:sz w:val="28"/>
          <w:szCs w:val="28"/>
          <w:lang w:val="es-ES"/>
        </w:rPr>
        <w:endnoteReference w:id="50"/>
      </w:r>
      <w:r>
        <w:rPr>
          <w:bCs/>
          <w:color w:val="000000"/>
          <w:spacing w:val="6"/>
          <w:sz w:val="26"/>
          <w:szCs w:val="26"/>
          <w:lang w:val="es-ES"/>
        </w:rPr>
        <w:t>,</w:t>
      </w:r>
      <w:r>
        <w:rPr>
          <w:rFonts w:ascii="Times New Roman" w:hAnsi="Times New Roman"/>
          <w:sz w:val="26"/>
          <w:szCs w:val="26"/>
        </w:rPr>
        <w:t xml:space="preserve"> </w:t>
      </w:r>
      <w:r>
        <w:rPr>
          <w:spacing w:val="6"/>
          <w:sz w:val="26"/>
          <w:szCs w:val="26"/>
        </w:rPr>
        <w:t>con vigor desde el 1 de enero de 2009 hasta el 31 de diciembre de 2016)</w:t>
      </w:r>
      <w:r>
        <w:rPr>
          <w:rFonts w:ascii="Times New Roman" w:hAnsi="Times New Roman"/>
          <w:sz w:val="26"/>
          <w:szCs w:val="26"/>
          <w:lang w:val="es-ES"/>
        </w:rPr>
        <w:t xml:space="preserve">, en el Impuesto sobre Sucesiones a los </w:t>
      </w:r>
      <w:r>
        <w:rPr>
          <w:rFonts w:ascii="Times New Roman" w:hAnsi="Times New Roman"/>
          <w:sz w:val="26"/>
          <w:szCs w:val="26"/>
        </w:rPr>
        <w:t xml:space="preserve">contribuyentes del </w:t>
      </w:r>
      <w:hyperlink r:id="rId319" w:anchor="a20" w:history="1">
        <w:r>
          <w:rPr>
            <w:rStyle w:val="Hipervnculo"/>
            <w:rFonts w:ascii="Times New Roman" w:hAnsi="Times New Roman"/>
            <w:sz w:val="26"/>
            <w:szCs w:val="26"/>
          </w:rPr>
          <w:t>Grupo II</w:t>
        </w:r>
      </w:hyperlink>
      <w:r>
        <w:rPr>
          <w:rFonts w:ascii="Times New Roman" w:hAnsi="Times New Roman"/>
          <w:sz w:val="26"/>
          <w:szCs w:val="26"/>
        </w:rPr>
        <w:t xml:space="preserve"> o con un grado de minusvalía reconocido igual o superior al 65 %, se aplicará una bonificación del 100 % de la cuota que resulte después de aplicar las deducciones estatales y autonómicas que, en su caso, resulten aplicables, siempre que su patrimonio preexistente no sea superior a 402.678,11 €</w:t>
      </w:r>
      <w:r>
        <w:rPr>
          <w:rFonts w:ascii="Times New Roman" w:hAnsi="Times New Roman"/>
          <w:sz w:val="26"/>
          <w:szCs w:val="26"/>
          <w:lang w:val="es-ES"/>
        </w:rPr>
        <w:t>, si la base imponible es igual o inferior a 150.000 €, en realidad por el juego del ajuar 145.631,06 €</w:t>
      </w:r>
      <w:r>
        <w:rPr>
          <w:rStyle w:val="Refdenotaalfinal"/>
          <w:rFonts w:ascii="Times New Roman" w:hAnsi="Times New Roman"/>
          <w:b/>
          <w:sz w:val="28"/>
          <w:szCs w:val="28"/>
          <w:lang w:val="es-ES"/>
        </w:rPr>
        <w:endnoteReference w:id="51"/>
      </w:r>
      <w:r>
        <w:rPr>
          <w:rFonts w:ascii="Times New Roman" w:hAnsi="Times New Roman"/>
          <w:sz w:val="26"/>
          <w:szCs w:val="26"/>
          <w:lang w:val="es-ES"/>
        </w:rPr>
        <w:t>.</w:t>
      </w:r>
    </w:p>
    <w:p w14:paraId="510C1A14" w14:textId="77777777" w:rsidR="00EE1145" w:rsidRDefault="00EE1145" w:rsidP="00C854F8">
      <w:pPr>
        <w:numPr>
          <w:ilvl w:val="2"/>
          <w:numId w:val="15"/>
        </w:numPr>
        <w:tabs>
          <w:tab w:val="clear" w:pos="1440"/>
          <w:tab w:val="left" w:pos="993"/>
          <w:tab w:val="num" w:pos="1080"/>
          <w:tab w:val="left" w:pos="1134"/>
          <w:tab w:val="left" w:pos="1276"/>
        </w:tabs>
        <w:spacing w:line="280" w:lineRule="atLeast"/>
        <w:ind w:left="864"/>
        <w:jc w:val="both"/>
        <w:rPr>
          <w:b/>
          <w:spacing w:val="6"/>
          <w:sz w:val="22"/>
          <w:szCs w:val="22"/>
        </w:rPr>
      </w:pPr>
      <w:r>
        <w:rPr>
          <w:b/>
          <w:color w:val="000000"/>
          <w:spacing w:val="6"/>
          <w:sz w:val="26"/>
          <w:szCs w:val="26"/>
        </w:rPr>
        <w:t>Tratamiento notarial</w:t>
      </w:r>
    </w:p>
    <w:p w14:paraId="58514BB4" w14:textId="77777777" w:rsidR="00EE1145" w:rsidRDefault="00EE1145">
      <w:pPr>
        <w:ind w:left="1080"/>
        <w:jc w:val="both"/>
        <w:rPr>
          <w:rFonts w:ascii="CG Times" w:hAnsi="CG Times"/>
          <w:sz w:val="26"/>
          <w:szCs w:val="26"/>
        </w:rPr>
      </w:pPr>
      <w:r>
        <w:rPr>
          <w:rFonts w:ascii="CG Times" w:hAnsi="CG Times"/>
          <w:sz w:val="26"/>
          <w:szCs w:val="26"/>
        </w:rPr>
        <w:t>Incluir la anterior cláusula en la Exposición (eligiendo las opciones correspondientes).</w:t>
      </w:r>
    </w:p>
    <w:p w14:paraId="41D21B72" w14:textId="77777777" w:rsidR="00EE1145" w:rsidRDefault="00EE1145">
      <w:pPr>
        <w:ind w:left="720"/>
        <w:jc w:val="both"/>
        <w:rPr>
          <w:rFonts w:ascii="CG Times" w:hAnsi="CG Times"/>
          <w:sz w:val="26"/>
          <w:szCs w:val="26"/>
        </w:rPr>
      </w:pPr>
      <w:r>
        <w:rPr>
          <w:rFonts w:ascii="CG Times" w:hAnsi="CG Times"/>
          <w:sz w:val="26"/>
          <w:szCs w:val="26"/>
        </w:rPr>
        <w:br w:type="page"/>
      </w:r>
    </w:p>
    <w:p w14:paraId="3473C333" w14:textId="77777777" w:rsidR="00EE1145" w:rsidRPr="0035271F" w:rsidRDefault="00EE1145" w:rsidP="00C854F8">
      <w:pPr>
        <w:numPr>
          <w:ilvl w:val="0"/>
          <w:numId w:val="15"/>
        </w:numPr>
        <w:tabs>
          <w:tab w:val="clear" w:pos="360"/>
          <w:tab w:val="num" w:pos="0"/>
        </w:tabs>
        <w:spacing w:line="280" w:lineRule="atLeast"/>
        <w:ind w:left="0"/>
        <w:jc w:val="both"/>
        <w:rPr>
          <w:b/>
          <w:spacing w:val="6"/>
          <w:sz w:val="24"/>
          <w:szCs w:val="24"/>
        </w:rPr>
      </w:pPr>
      <w:bookmarkStart w:id="208" w:name="E"/>
      <w:bookmarkEnd w:id="208"/>
      <w:r w:rsidRPr="0035271F">
        <w:rPr>
          <w:b/>
          <w:spacing w:val="6"/>
          <w:sz w:val="24"/>
          <w:szCs w:val="24"/>
        </w:rPr>
        <w:lastRenderedPageBreak/>
        <w:t>IMPUESTO SOBRE LA RENTA DE PERSONAS FÍSICAS</w:t>
      </w:r>
    </w:p>
    <w:p w14:paraId="58144CC0" w14:textId="77777777" w:rsidR="00EE1145" w:rsidRPr="0035271F" w:rsidRDefault="00EE1145" w:rsidP="00C854F8">
      <w:pPr>
        <w:numPr>
          <w:ilvl w:val="1"/>
          <w:numId w:val="15"/>
        </w:numPr>
        <w:tabs>
          <w:tab w:val="clear" w:pos="792"/>
          <w:tab w:val="num" w:pos="432"/>
        </w:tabs>
        <w:spacing w:line="280" w:lineRule="atLeast"/>
        <w:ind w:left="432"/>
        <w:jc w:val="both"/>
        <w:rPr>
          <w:b/>
          <w:spacing w:val="6"/>
          <w:sz w:val="24"/>
          <w:szCs w:val="24"/>
        </w:rPr>
      </w:pPr>
      <w:bookmarkStart w:id="209" w:name="E2"/>
      <w:bookmarkStart w:id="210" w:name="e51"/>
      <w:bookmarkStart w:id="211" w:name="n52"/>
      <w:bookmarkEnd w:id="209"/>
      <w:bookmarkEnd w:id="210"/>
      <w:bookmarkEnd w:id="211"/>
      <w:r w:rsidRPr="0035271F">
        <w:rPr>
          <w:b/>
          <w:spacing w:val="6"/>
          <w:sz w:val="24"/>
          <w:szCs w:val="24"/>
        </w:rPr>
        <w:t>Normativa vigente</w:t>
      </w:r>
    </w:p>
    <w:p w14:paraId="1DD137B2" w14:textId="77777777" w:rsidR="00EE1145" w:rsidRPr="0035271F" w:rsidRDefault="00EE1145" w:rsidP="00E3036D">
      <w:pPr>
        <w:spacing w:line="280" w:lineRule="atLeast"/>
        <w:ind w:left="432"/>
        <w:jc w:val="both"/>
        <w:rPr>
          <w:rFonts w:ascii="Times New Roman" w:hAnsi="Times New Roman"/>
          <w:sz w:val="24"/>
          <w:szCs w:val="24"/>
          <w:lang w:val="es-ES"/>
        </w:rPr>
      </w:pPr>
      <w:r w:rsidRPr="0035271F">
        <w:rPr>
          <w:rFonts w:ascii="Times New Roman" w:hAnsi="Times New Roman"/>
          <w:sz w:val="24"/>
          <w:szCs w:val="24"/>
          <w:lang w:val="es-ES"/>
        </w:rPr>
        <w:t>La escala autonómica del I</w:t>
      </w:r>
      <w:r w:rsidR="00BD3DC4" w:rsidRPr="0035271F">
        <w:rPr>
          <w:rFonts w:ascii="Times New Roman" w:hAnsi="Times New Roman"/>
          <w:sz w:val="24"/>
          <w:szCs w:val="24"/>
          <w:lang w:val="es-ES"/>
        </w:rPr>
        <w:t xml:space="preserve">RPF </w:t>
      </w:r>
      <w:r w:rsidRPr="0035271F">
        <w:rPr>
          <w:rFonts w:ascii="Times New Roman" w:hAnsi="Times New Roman"/>
          <w:sz w:val="24"/>
          <w:szCs w:val="24"/>
          <w:lang w:val="es-ES"/>
        </w:rPr>
        <w:t xml:space="preserve">durante el ejercicio 2015 y posteriores </w:t>
      </w:r>
      <w:r w:rsidR="00BD3DC4" w:rsidRPr="0035271F">
        <w:rPr>
          <w:rFonts w:ascii="Times New Roman" w:hAnsi="Times New Roman"/>
          <w:sz w:val="24"/>
          <w:szCs w:val="24"/>
          <w:lang w:val="es-ES"/>
        </w:rPr>
        <w:t>(</w:t>
      </w:r>
      <w:hyperlink r:id="rId320" w:anchor="a2" w:history="1">
        <w:r w:rsidR="00BD3DC4" w:rsidRPr="0035271F">
          <w:rPr>
            <w:rStyle w:val="Hipervnculo"/>
            <w:rFonts w:ascii="Times New Roman" w:hAnsi="Times New Roman"/>
            <w:spacing w:val="6"/>
            <w:sz w:val="24"/>
            <w:szCs w:val="24"/>
          </w:rPr>
          <w:t>art. 2 del Decreto-legislativo asturiano 2/2014 (tras la reforma por Ley 11/2014)</w:t>
        </w:r>
      </w:hyperlink>
      <w:r w:rsidR="00BD3DC4" w:rsidRPr="0035271F">
        <w:rPr>
          <w:rFonts w:ascii="Times New Roman" w:hAnsi="Times New Roman"/>
          <w:spacing w:val="6"/>
          <w:sz w:val="24"/>
          <w:szCs w:val="24"/>
        </w:rPr>
        <w:t xml:space="preserve"> </w:t>
      </w:r>
      <w:r w:rsidR="002670CD">
        <w:rPr>
          <w:rFonts w:ascii="Times New Roman" w:hAnsi="Times New Roman"/>
          <w:sz w:val="24"/>
          <w:szCs w:val="24"/>
          <w:lang w:val="es-ES"/>
        </w:rPr>
        <w:t>es</w:t>
      </w:r>
      <w:r w:rsidRPr="0035271F">
        <w:rPr>
          <w:rFonts w:ascii="Times New Roman" w:hAnsi="Times New Roman"/>
          <w:sz w:val="24"/>
          <w:szCs w:val="24"/>
          <w:lang w:val="es-ES"/>
        </w:rPr>
        <w:t>:</w:t>
      </w:r>
    </w:p>
    <w:tbl>
      <w:tblPr>
        <w:tblpPr w:leftFromText="141" w:rightFromText="141" w:vertAnchor="text" w:horzAnchor="page" w:tblpX="4927" w:tblpY="22"/>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1038"/>
        <w:gridCol w:w="997"/>
        <w:gridCol w:w="1271"/>
        <w:gridCol w:w="947"/>
      </w:tblGrid>
      <w:tr w:rsidR="00EE1145" w14:paraId="30F5D68E" w14:textId="77777777">
        <w:trPr>
          <w:tblCellSpacing w:w="15" w:type="dxa"/>
        </w:trPr>
        <w:tc>
          <w:tcPr>
            <w:tcW w:w="993" w:type="dxa"/>
            <w:vAlign w:val="center"/>
          </w:tcPr>
          <w:p w14:paraId="7E526840" w14:textId="77777777" w:rsidR="00EE1145" w:rsidRDefault="00EE1145">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Base  €</w:t>
            </w:r>
          </w:p>
        </w:tc>
        <w:tc>
          <w:tcPr>
            <w:tcW w:w="967" w:type="dxa"/>
            <w:vAlign w:val="center"/>
          </w:tcPr>
          <w:p w14:paraId="3A764F1E" w14:textId="77777777" w:rsidR="00EE1145" w:rsidRDefault="00EE1145">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Cuota €</w:t>
            </w:r>
          </w:p>
        </w:tc>
        <w:tc>
          <w:tcPr>
            <w:tcW w:w="1241" w:type="dxa"/>
            <w:vAlign w:val="center"/>
          </w:tcPr>
          <w:p w14:paraId="67C61314" w14:textId="77777777" w:rsidR="00EE1145" w:rsidRDefault="00EE1145">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Resto base €</w:t>
            </w:r>
          </w:p>
        </w:tc>
        <w:tc>
          <w:tcPr>
            <w:tcW w:w="902" w:type="dxa"/>
            <w:vAlign w:val="center"/>
          </w:tcPr>
          <w:p w14:paraId="34D6D6A9" w14:textId="77777777" w:rsidR="00EE1145" w:rsidRDefault="00EE1145">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Tipo %</w:t>
            </w:r>
          </w:p>
        </w:tc>
      </w:tr>
      <w:tr w:rsidR="00EE1145" w14:paraId="5A4EA95F" w14:textId="77777777">
        <w:trPr>
          <w:tblCellSpacing w:w="15" w:type="dxa"/>
        </w:trPr>
        <w:tc>
          <w:tcPr>
            <w:tcW w:w="993" w:type="dxa"/>
            <w:vAlign w:val="center"/>
          </w:tcPr>
          <w:p w14:paraId="6234D229"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0,00</w:t>
            </w:r>
          </w:p>
        </w:tc>
        <w:tc>
          <w:tcPr>
            <w:tcW w:w="967" w:type="dxa"/>
            <w:vAlign w:val="center"/>
          </w:tcPr>
          <w:p w14:paraId="1F6F612A"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0,00</w:t>
            </w:r>
          </w:p>
        </w:tc>
        <w:tc>
          <w:tcPr>
            <w:tcW w:w="1241" w:type="dxa"/>
            <w:vAlign w:val="center"/>
          </w:tcPr>
          <w:p w14:paraId="0EEF3BD0"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12.450,00</w:t>
            </w:r>
          </w:p>
        </w:tc>
        <w:tc>
          <w:tcPr>
            <w:tcW w:w="902" w:type="dxa"/>
            <w:vAlign w:val="center"/>
          </w:tcPr>
          <w:p w14:paraId="0AD64CD8"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10,00</w:t>
            </w:r>
          </w:p>
        </w:tc>
      </w:tr>
      <w:tr w:rsidR="00EE1145" w14:paraId="2C0EC4E7" w14:textId="77777777">
        <w:trPr>
          <w:tblCellSpacing w:w="15" w:type="dxa"/>
        </w:trPr>
        <w:tc>
          <w:tcPr>
            <w:tcW w:w="993" w:type="dxa"/>
            <w:vAlign w:val="center"/>
          </w:tcPr>
          <w:p w14:paraId="16C4967A"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12.450,00</w:t>
            </w:r>
          </w:p>
        </w:tc>
        <w:tc>
          <w:tcPr>
            <w:tcW w:w="967" w:type="dxa"/>
            <w:vAlign w:val="center"/>
          </w:tcPr>
          <w:p w14:paraId="0ECD8E8E"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1.245,00</w:t>
            </w:r>
          </w:p>
        </w:tc>
        <w:tc>
          <w:tcPr>
            <w:tcW w:w="1241" w:type="dxa"/>
            <w:vAlign w:val="center"/>
          </w:tcPr>
          <w:p w14:paraId="7EE294F4"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5.257,20</w:t>
            </w:r>
          </w:p>
        </w:tc>
        <w:tc>
          <w:tcPr>
            <w:tcW w:w="902" w:type="dxa"/>
            <w:vAlign w:val="center"/>
          </w:tcPr>
          <w:p w14:paraId="55795DC2"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12,00</w:t>
            </w:r>
          </w:p>
        </w:tc>
      </w:tr>
      <w:tr w:rsidR="00EE1145" w14:paraId="1545A989" w14:textId="77777777">
        <w:trPr>
          <w:tblCellSpacing w:w="15" w:type="dxa"/>
        </w:trPr>
        <w:tc>
          <w:tcPr>
            <w:tcW w:w="993" w:type="dxa"/>
            <w:vAlign w:val="center"/>
          </w:tcPr>
          <w:p w14:paraId="4DA49B33"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17.707,20</w:t>
            </w:r>
          </w:p>
        </w:tc>
        <w:tc>
          <w:tcPr>
            <w:tcW w:w="967" w:type="dxa"/>
            <w:vAlign w:val="center"/>
          </w:tcPr>
          <w:p w14:paraId="3EE2BFBB"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1.875,76</w:t>
            </w:r>
          </w:p>
        </w:tc>
        <w:tc>
          <w:tcPr>
            <w:tcW w:w="1241" w:type="dxa"/>
            <w:vAlign w:val="center"/>
          </w:tcPr>
          <w:p w14:paraId="1BE2385C"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15.300,00</w:t>
            </w:r>
          </w:p>
        </w:tc>
        <w:tc>
          <w:tcPr>
            <w:tcW w:w="902" w:type="dxa"/>
            <w:vAlign w:val="center"/>
          </w:tcPr>
          <w:p w14:paraId="5098E994"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14,00</w:t>
            </w:r>
          </w:p>
        </w:tc>
      </w:tr>
      <w:tr w:rsidR="00EE1145" w14:paraId="4D97DD56" w14:textId="77777777">
        <w:trPr>
          <w:tblCellSpacing w:w="15" w:type="dxa"/>
        </w:trPr>
        <w:tc>
          <w:tcPr>
            <w:tcW w:w="993" w:type="dxa"/>
            <w:vAlign w:val="center"/>
          </w:tcPr>
          <w:p w14:paraId="2C85AD49"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33.007,20</w:t>
            </w:r>
          </w:p>
        </w:tc>
        <w:tc>
          <w:tcPr>
            <w:tcW w:w="967" w:type="dxa"/>
            <w:vAlign w:val="center"/>
          </w:tcPr>
          <w:p w14:paraId="1F558C0F"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4.017,86</w:t>
            </w:r>
          </w:p>
        </w:tc>
        <w:tc>
          <w:tcPr>
            <w:tcW w:w="1241" w:type="dxa"/>
            <w:vAlign w:val="center"/>
          </w:tcPr>
          <w:p w14:paraId="2FEADA51"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20.400,00</w:t>
            </w:r>
          </w:p>
        </w:tc>
        <w:tc>
          <w:tcPr>
            <w:tcW w:w="902" w:type="dxa"/>
            <w:vAlign w:val="center"/>
          </w:tcPr>
          <w:p w14:paraId="5FC6181C"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18,50</w:t>
            </w:r>
          </w:p>
        </w:tc>
      </w:tr>
      <w:tr w:rsidR="00EE1145" w14:paraId="3ADCF63C" w14:textId="77777777">
        <w:trPr>
          <w:tblCellSpacing w:w="15" w:type="dxa"/>
        </w:trPr>
        <w:tc>
          <w:tcPr>
            <w:tcW w:w="993" w:type="dxa"/>
            <w:vAlign w:val="center"/>
          </w:tcPr>
          <w:p w14:paraId="56130D0C"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53.407,20</w:t>
            </w:r>
          </w:p>
        </w:tc>
        <w:tc>
          <w:tcPr>
            <w:tcW w:w="967" w:type="dxa"/>
            <w:vAlign w:val="center"/>
          </w:tcPr>
          <w:p w14:paraId="33E87946"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7.791,86</w:t>
            </w:r>
          </w:p>
        </w:tc>
        <w:tc>
          <w:tcPr>
            <w:tcW w:w="1241" w:type="dxa"/>
            <w:vAlign w:val="center"/>
          </w:tcPr>
          <w:p w14:paraId="78814C31"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16.592,80</w:t>
            </w:r>
          </w:p>
        </w:tc>
        <w:tc>
          <w:tcPr>
            <w:tcW w:w="902" w:type="dxa"/>
            <w:vAlign w:val="center"/>
          </w:tcPr>
          <w:p w14:paraId="1354E4DF"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21,50</w:t>
            </w:r>
          </w:p>
        </w:tc>
      </w:tr>
      <w:tr w:rsidR="00EE1145" w14:paraId="4FEB5020" w14:textId="77777777">
        <w:trPr>
          <w:tblCellSpacing w:w="15" w:type="dxa"/>
        </w:trPr>
        <w:tc>
          <w:tcPr>
            <w:tcW w:w="993" w:type="dxa"/>
            <w:vAlign w:val="center"/>
          </w:tcPr>
          <w:p w14:paraId="49DF309E"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70.000,00</w:t>
            </w:r>
          </w:p>
        </w:tc>
        <w:tc>
          <w:tcPr>
            <w:tcW w:w="967" w:type="dxa"/>
            <w:vAlign w:val="center"/>
          </w:tcPr>
          <w:p w14:paraId="1258E88E"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11.359,32</w:t>
            </w:r>
          </w:p>
        </w:tc>
        <w:tc>
          <w:tcPr>
            <w:tcW w:w="1241" w:type="dxa"/>
            <w:vAlign w:val="center"/>
          </w:tcPr>
          <w:p w14:paraId="77DE4A2D"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20.000,00</w:t>
            </w:r>
          </w:p>
        </w:tc>
        <w:tc>
          <w:tcPr>
            <w:tcW w:w="902" w:type="dxa"/>
            <w:vAlign w:val="center"/>
          </w:tcPr>
          <w:p w14:paraId="25D0A233"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22,50</w:t>
            </w:r>
          </w:p>
        </w:tc>
      </w:tr>
      <w:tr w:rsidR="00EE1145" w14:paraId="01150C53" w14:textId="77777777">
        <w:trPr>
          <w:tblCellSpacing w:w="15" w:type="dxa"/>
        </w:trPr>
        <w:tc>
          <w:tcPr>
            <w:tcW w:w="993" w:type="dxa"/>
            <w:vAlign w:val="center"/>
          </w:tcPr>
          <w:p w14:paraId="116DAE0D"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90.000,00</w:t>
            </w:r>
          </w:p>
        </w:tc>
        <w:tc>
          <w:tcPr>
            <w:tcW w:w="967" w:type="dxa"/>
            <w:vAlign w:val="center"/>
          </w:tcPr>
          <w:p w14:paraId="37BAD4B5"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15.859,32</w:t>
            </w:r>
          </w:p>
        </w:tc>
        <w:tc>
          <w:tcPr>
            <w:tcW w:w="1241" w:type="dxa"/>
            <w:vAlign w:val="center"/>
          </w:tcPr>
          <w:p w14:paraId="157EEF22"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85.000,00</w:t>
            </w:r>
          </w:p>
        </w:tc>
        <w:tc>
          <w:tcPr>
            <w:tcW w:w="902" w:type="dxa"/>
            <w:vAlign w:val="center"/>
          </w:tcPr>
          <w:p w14:paraId="41A8BADA"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25,00</w:t>
            </w:r>
          </w:p>
        </w:tc>
      </w:tr>
      <w:tr w:rsidR="00EE1145" w14:paraId="7A0402E4" w14:textId="77777777">
        <w:trPr>
          <w:tblCellSpacing w:w="15" w:type="dxa"/>
        </w:trPr>
        <w:tc>
          <w:tcPr>
            <w:tcW w:w="993" w:type="dxa"/>
            <w:vAlign w:val="center"/>
          </w:tcPr>
          <w:p w14:paraId="1F867870"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175.000,00</w:t>
            </w:r>
          </w:p>
        </w:tc>
        <w:tc>
          <w:tcPr>
            <w:tcW w:w="967" w:type="dxa"/>
            <w:vAlign w:val="center"/>
          </w:tcPr>
          <w:p w14:paraId="04C72195"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rPr>
              <w:t>37.109,32</w:t>
            </w:r>
          </w:p>
        </w:tc>
        <w:tc>
          <w:tcPr>
            <w:tcW w:w="1241" w:type="dxa"/>
            <w:vAlign w:val="center"/>
          </w:tcPr>
          <w:p w14:paraId="665FF548"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en adelante</w:t>
            </w:r>
          </w:p>
        </w:tc>
        <w:tc>
          <w:tcPr>
            <w:tcW w:w="902" w:type="dxa"/>
            <w:vAlign w:val="center"/>
          </w:tcPr>
          <w:p w14:paraId="0A51AA6E"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25,50</w:t>
            </w:r>
          </w:p>
        </w:tc>
      </w:tr>
    </w:tbl>
    <w:p w14:paraId="06EFE93B" w14:textId="77777777" w:rsidR="00EE1145" w:rsidRDefault="00EE1145">
      <w:pPr>
        <w:spacing w:line="280" w:lineRule="atLeast"/>
        <w:ind w:left="720"/>
        <w:jc w:val="both"/>
        <w:rPr>
          <w:rFonts w:ascii="Times New Roman" w:hAnsi="Times New Roman"/>
          <w:color w:val="0000FF"/>
          <w:sz w:val="26"/>
          <w:szCs w:val="26"/>
          <w:lang w:val="es-ES"/>
        </w:rPr>
      </w:pPr>
    </w:p>
    <w:p w14:paraId="3CD32E69" w14:textId="77777777" w:rsidR="00EE1145" w:rsidRDefault="00EE1145">
      <w:pPr>
        <w:spacing w:line="280" w:lineRule="atLeast"/>
        <w:ind w:left="720"/>
        <w:jc w:val="both"/>
        <w:rPr>
          <w:rFonts w:ascii="Times New Roman" w:hAnsi="Times New Roman"/>
          <w:sz w:val="26"/>
          <w:szCs w:val="26"/>
          <w:lang w:val="es-ES"/>
        </w:rPr>
      </w:pPr>
    </w:p>
    <w:p w14:paraId="0CA851E8" w14:textId="77777777" w:rsidR="00EE1145" w:rsidRDefault="00EE1145">
      <w:pPr>
        <w:spacing w:line="280" w:lineRule="atLeast"/>
        <w:ind w:left="720"/>
        <w:jc w:val="both"/>
        <w:rPr>
          <w:rFonts w:ascii="Times New Roman" w:hAnsi="Times New Roman"/>
          <w:sz w:val="26"/>
          <w:szCs w:val="26"/>
          <w:lang w:val="es-ES"/>
        </w:rPr>
      </w:pPr>
    </w:p>
    <w:p w14:paraId="305AEA01" w14:textId="77777777" w:rsidR="00EE1145" w:rsidRDefault="00EE1145">
      <w:pPr>
        <w:spacing w:line="280" w:lineRule="atLeast"/>
        <w:jc w:val="both"/>
        <w:rPr>
          <w:rFonts w:ascii="Times New Roman" w:hAnsi="Times New Roman"/>
          <w:sz w:val="26"/>
          <w:szCs w:val="26"/>
          <w:lang w:val="es-ES"/>
        </w:rPr>
      </w:pPr>
    </w:p>
    <w:p w14:paraId="2ACFEF19" w14:textId="77777777" w:rsidR="00EE1145" w:rsidRDefault="00EE1145">
      <w:pPr>
        <w:spacing w:line="280" w:lineRule="atLeast"/>
        <w:ind w:left="720"/>
        <w:jc w:val="both"/>
        <w:rPr>
          <w:rFonts w:ascii="Times New Roman" w:hAnsi="Times New Roman"/>
          <w:sz w:val="26"/>
          <w:szCs w:val="26"/>
          <w:lang w:val="es-ES"/>
        </w:rPr>
      </w:pPr>
    </w:p>
    <w:p w14:paraId="0614578B" w14:textId="77777777" w:rsidR="00EE1145" w:rsidRDefault="00EE1145">
      <w:pPr>
        <w:spacing w:line="280" w:lineRule="atLeast"/>
        <w:ind w:left="720"/>
        <w:jc w:val="both"/>
        <w:rPr>
          <w:rFonts w:ascii="Times New Roman" w:hAnsi="Times New Roman"/>
          <w:sz w:val="26"/>
          <w:szCs w:val="26"/>
          <w:lang w:val="es-ES"/>
        </w:rPr>
      </w:pPr>
    </w:p>
    <w:p w14:paraId="556F3195" w14:textId="77777777" w:rsidR="00EE1145" w:rsidRDefault="00EE1145">
      <w:pPr>
        <w:spacing w:line="280" w:lineRule="atLeast"/>
        <w:ind w:left="720"/>
        <w:jc w:val="both"/>
        <w:rPr>
          <w:rFonts w:ascii="Times New Roman" w:hAnsi="Times New Roman"/>
          <w:sz w:val="26"/>
          <w:szCs w:val="26"/>
          <w:lang w:val="es-ES"/>
        </w:rPr>
      </w:pPr>
    </w:p>
    <w:p w14:paraId="25CE02EA" w14:textId="77777777" w:rsidR="00EE1145" w:rsidRDefault="00EE1145">
      <w:pPr>
        <w:spacing w:line="280" w:lineRule="atLeast"/>
        <w:ind w:left="720"/>
        <w:jc w:val="both"/>
        <w:rPr>
          <w:rFonts w:ascii="Times New Roman" w:hAnsi="Times New Roman"/>
          <w:sz w:val="26"/>
          <w:szCs w:val="26"/>
          <w:lang w:val="es-ES"/>
        </w:rPr>
      </w:pPr>
    </w:p>
    <w:p w14:paraId="6B52800E" w14:textId="77777777" w:rsidR="00EE1145" w:rsidRDefault="00EE1145">
      <w:pPr>
        <w:spacing w:line="280" w:lineRule="atLeast"/>
        <w:ind w:left="720"/>
        <w:jc w:val="both"/>
        <w:rPr>
          <w:rFonts w:ascii="Times New Roman" w:hAnsi="Times New Roman"/>
          <w:sz w:val="26"/>
          <w:szCs w:val="26"/>
          <w:lang w:val="es-ES"/>
        </w:rPr>
      </w:pPr>
    </w:p>
    <w:p w14:paraId="57078A00" w14:textId="77777777" w:rsidR="00445C09" w:rsidRPr="0035271F" w:rsidRDefault="00445C09" w:rsidP="00445C09">
      <w:pPr>
        <w:spacing w:line="280" w:lineRule="atLeast"/>
        <w:ind w:left="432"/>
        <w:jc w:val="both"/>
        <w:rPr>
          <w:rFonts w:ascii="Times New Roman" w:hAnsi="Times New Roman"/>
          <w:sz w:val="24"/>
          <w:szCs w:val="24"/>
          <w:lang w:val="es-ES"/>
        </w:rPr>
      </w:pPr>
      <w:r w:rsidRPr="0035271F">
        <w:rPr>
          <w:rFonts w:ascii="Times New Roman" w:hAnsi="Times New Roman"/>
          <w:sz w:val="24"/>
          <w:szCs w:val="24"/>
          <w:lang w:val="es-ES"/>
        </w:rPr>
        <w:t>La escala autonómica del IRPF durante el ejercicio 2</w:t>
      </w:r>
      <w:r w:rsidR="0036265C">
        <w:rPr>
          <w:rFonts w:ascii="Times New Roman" w:hAnsi="Times New Roman"/>
          <w:sz w:val="24"/>
          <w:szCs w:val="24"/>
          <w:lang w:val="es-ES"/>
        </w:rPr>
        <w:t>0</w:t>
      </w:r>
      <w:r>
        <w:rPr>
          <w:rFonts w:ascii="Times New Roman" w:hAnsi="Times New Roman"/>
          <w:sz w:val="24"/>
          <w:szCs w:val="24"/>
          <w:lang w:val="es-ES"/>
        </w:rPr>
        <w:t>25</w:t>
      </w:r>
      <w:r w:rsidRPr="0035271F">
        <w:rPr>
          <w:rFonts w:ascii="Times New Roman" w:hAnsi="Times New Roman"/>
          <w:sz w:val="24"/>
          <w:szCs w:val="24"/>
          <w:lang w:val="es-ES"/>
        </w:rPr>
        <w:t xml:space="preserve"> y posteriores (</w:t>
      </w:r>
      <w:r w:rsidRPr="00445C09">
        <w:rPr>
          <w:rFonts w:ascii="Times New Roman" w:hAnsi="Times New Roman"/>
          <w:spacing w:val="6"/>
          <w:sz w:val="24"/>
          <w:szCs w:val="24"/>
        </w:rPr>
        <w:t>art. 2 del Decreto-legislativo asturiano 2/2014 (tras la reforma por Ley 3/2025)</w:t>
      </w:r>
      <w:r w:rsidRPr="0035271F">
        <w:rPr>
          <w:rFonts w:ascii="Times New Roman" w:hAnsi="Times New Roman"/>
          <w:spacing w:val="6"/>
          <w:sz w:val="24"/>
          <w:szCs w:val="24"/>
        </w:rPr>
        <w:t xml:space="preserve"> </w:t>
      </w:r>
      <w:r>
        <w:rPr>
          <w:rFonts w:ascii="Times New Roman" w:hAnsi="Times New Roman"/>
          <w:sz w:val="24"/>
          <w:szCs w:val="24"/>
          <w:lang w:val="es-ES"/>
        </w:rPr>
        <w:t>es</w:t>
      </w:r>
      <w:r w:rsidRPr="0035271F">
        <w:rPr>
          <w:rFonts w:ascii="Times New Roman" w:hAnsi="Times New Roman"/>
          <w:sz w:val="24"/>
          <w:szCs w:val="24"/>
          <w:lang w:val="es-ES"/>
        </w:rPr>
        <w:t>:</w:t>
      </w:r>
    </w:p>
    <w:tbl>
      <w:tblPr>
        <w:tblpPr w:leftFromText="141" w:rightFromText="141" w:vertAnchor="text" w:horzAnchor="page" w:tblpX="4927" w:tblpY="22"/>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1038"/>
        <w:gridCol w:w="997"/>
        <w:gridCol w:w="1271"/>
        <w:gridCol w:w="947"/>
      </w:tblGrid>
      <w:tr w:rsidR="00445C09" w14:paraId="5366BCF7" w14:textId="77777777" w:rsidTr="00A903FD">
        <w:trPr>
          <w:tblCellSpacing w:w="15" w:type="dxa"/>
        </w:trPr>
        <w:tc>
          <w:tcPr>
            <w:tcW w:w="993" w:type="dxa"/>
            <w:vAlign w:val="center"/>
          </w:tcPr>
          <w:p w14:paraId="57461803" w14:textId="77777777" w:rsidR="00445C09" w:rsidRDefault="00445C09" w:rsidP="00A903FD">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Base  €</w:t>
            </w:r>
          </w:p>
        </w:tc>
        <w:tc>
          <w:tcPr>
            <w:tcW w:w="967" w:type="dxa"/>
            <w:vAlign w:val="center"/>
          </w:tcPr>
          <w:p w14:paraId="37140827" w14:textId="77777777" w:rsidR="00445C09" w:rsidRDefault="00445C09" w:rsidP="00A903FD">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Cuota €</w:t>
            </w:r>
          </w:p>
        </w:tc>
        <w:tc>
          <w:tcPr>
            <w:tcW w:w="1241" w:type="dxa"/>
            <w:vAlign w:val="center"/>
          </w:tcPr>
          <w:p w14:paraId="16898A93" w14:textId="77777777" w:rsidR="00445C09" w:rsidRDefault="00445C09" w:rsidP="00A903FD">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Resto base €</w:t>
            </w:r>
          </w:p>
        </w:tc>
        <w:tc>
          <w:tcPr>
            <w:tcW w:w="902" w:type="dxa"/>
            <w:vAlign w:val="center"/>
          </w:tcPr>
          <w:p w14:paraId="3595EB0A" w14:textId="77777777" w:rsidR="00445C09" w:rsidRDefault="00445C09" w:rsidP="00A903FD">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Tipo %</w:t>
            </w:r>
          </w:p>
        </w:tc>
      </w:tr>
      <w:tr w:rsidR="00445C09" w14:paraId="1623476A" w14:textId="77777777" w:rsidTr="00A903FD">
        <w:trPr>
          <w:tblCellSpacing w:w="15" w:type="dxa"/>
        </w:trPr>
        <w:tc>
          <w:tcPr>
            <w:tcW w:w="993" w:type="dxa"/>
            <w:vAlign w:val="center"/>
          </w:tcPr>
          <w:p w14:paraId="276C43DF"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0,00</w:t>
            </w:r>
          </w:p>
        </w:tc>
        <w:tc>
          <w:tcPr>
            <w:tcW w:w="967" w:type="dxa"/>
            <w:vAlign w:val="center"/>
          </w:tcPr>
          <w:p w14:paraId="7F748A50"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0,00</w:t>
            </w:r>
          </w:p>
        </w:tc>
        <w:tc>
          <w:tcPr>
            <w:tcW w:w="1241" w:type="dxa"/>
            <w:vAlign w:val="center"/>
          </w:tcPr>
          <w:p w14:paraId="34EB2A21"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12.450,00</w:t>
            </w:r>
          </w:p>
        </w:tc>
        <w:tc>
          <w:tcPr>
            <w:tcW w:w="902" w:type="dxa"/>
            <w:vAlign w:val="center"/>
          </w:tcPr>
          <w:p w14:paraId="3CBC12A0" w14:textId="77777777" w:rsidR="00445C09" w:rsidRDefault="00B946DD"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9</w:t>
            </w:r>
            <w:r w:rsidR="00445C09">
              <w:rPr>
                <w:rFonts w:ascii="Times New Roman" w:hAnsi="Times New Roman"/>
                <w:color w:val="0000FF"/>
                <w:lang w:val="es-ES"/>
              </w:rPr>
              <w:t>,00</w:t>
            </w:r>
          </w:p>
        </w:tc>
      </w:tr>
      <w:tr w:rsidR="00445C09" w14:paraId="49C0ABD5" w14:textId="77777777" w:rsidTr="00A903FD">
        <w:trPr>
          <w:tblCellSpacing w:w="15" w:type="dxa"/>
        </w:trPr>
        <w:tc>
          <w:tcPr>
            <w:tcW w:w="993" w:type="dxa"/>
            <w:vAlign w:val="center"/>
          </w:tcPr>
          <w:p w14:paraId="62776554"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12.450,00</w:t>
            </w:r>
          </w:p>
        </w:tc>
        <w:tc>
          <w:tcPr>
            <w:tcW w:w="967" w:type="dxa"/>
            <w:vAlign w:val="center"/>
          </w:tcPr>
          <w:p w14:paraId="19772DB8"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1.245,00</w:t>
            </w:r>
          </w:p>
        </w:tc>
        <w:tc>
          <w:tcPr>
            <w:tcW w:w="1241" w:type="dxa"/>
            <w:vAlign w:val="center"/>
          </w:tcPr>
          <w:p w14:paraId="0C21BC65"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5.257,20</w:t>
            </w:r>
          </w:p>
        </w:tc>
        <w:tc>
          <w:tcPr>
            <w:tcW w:w="902" w:type="dxa"/>
            <w:vAlign w:val="center"/>
          </w:tcPr>
          <w:p w14:paraId="05452C49"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12,00</w:t>
            </w:r>
          </w:p>
        </w:tc>
      </w:tr>
      <w:tr w:rsidR="00445C09" w14:paraId="35E50D30" w14:textId="77777777" w:rsidTr="00A903FD">
        <w:trPr>
          <w:tblCellSpacing w:w="15" w:type="dxa"/>
        </w:trPr>
        <w:tc>
          <w:tcPr>
            <w:tcW w:w="993" w:type="dxa"/>
            <w:vAlign w:val="center"/>
          </w:tcPr>
          <w:p w14:paraId="7F8CF6DF"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17.707,20</w:t>
            </w:r>
          </w:p>
        </w:tc>
        <w:tc>
          <w:tcPr>
            <w:tcW w:w="967" w:type="dxa"/>
            <w:vAlign w:val="center"/>
          </w:tcPr>
          <w:p w14:paraId="5DE7C9D0"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1.875,76</w:t>
            </w:r>
          </w:p>
        </w:tc>
        <w:tc>
          <w:tcPr>
            <w:tcW w:w="1241" w:type="dxa"/>
            <w:vAlign w:val="center"/>
          </w:tcPr>
          <w:p w14:paraId="203613B2"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15.300,00</w:t>
            </w:r>
          </w:p>
        </w:tc>
        <w:tc>
          <w:tcPr>
            <w:tcW w:w="902" w:type="dxa"/>
            <w:vAlign w:val="center"/>
          </w:tcPr>
          <w:p w14:paraId="559E530D"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14,00</w:t>
            </w:r>
          </w:p>
        </w:tc>
      </w:tr>
      <w:tr w:rsidR="00445C09" w14:paraId="39AC9352" w14:textId="77777777" w:rsidTr="00A903FD">
        <w:trPr>
          <w:tblCellSpacing w:w="15" w:type="dxa"/>
        </w:trPr>
        <w:tc>
          <w:tcPr>
            <w:tcW w:w="993" w:type="dxa"/>
            <w:vAlign w:val="center"/>
          </w:tcPr>
          <w:p w14:paraId="2F37C0C2"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33.007,20</w:t>
            </w:r>
          </w:p>
        </w:tc>
        <w:tc>
          <w:tcPr>
            <w:tcW w:w="967" w:type="dxa"/>
            <w:vAlign w:val="center"/>
          </w:tcPr>
          <w:p w14:paraId="08EA8F8C"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4.017,86</w:t>
            </w:r>
          </w:p>
        </w:tc>
        <w:tc>
          <w:tcPr>
            <w:tcW w:w="1241" w:type="dxa"/>
            <w:vAlign w:val="center"/>
          </w:tcPr>
          <w:p w14:paraId="2991A2C3"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20.400,00</w:t>
            </w:r>
          </w:p>
        </w:tc>
        <w:tc>
          <w:tcPr>
            <w:tcW w:w="902" w:type="dxa"/>
            <w:vAlign w:val="center"/>
          </w:tcPr>
          <w:p w14:paraId="531DCF75"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w:t>
            </w:r>
            <w:r w:rsidR="00B946DD">
              <w:rPr>
                <w:rFonts w:ascii="Times New Roman" w:hAnsi="Times New Roman"/>
                <w:color w:val="0000FF"/>
                <w:lang w:val="es-ES"/>
              </w:rPr>
              <w:t>9</w:t>
            </w:r>
            <w:r>
              <w:rPr>
                <w:rFonts w:ascii="Times New Roman" w:hAnsi="Times New Roman"/>
                <w:color w:val="0000FF"/>
                <w:lang w:val="es-ES"/>
              </w:rPr>
              <w:t>,</w:t>
            </w:r>
            <w:r w:rsidR="00B946DD">
              <w:rPr>
                <w:rFonts w:ascii="Times New Roman" w:hAnsi="Times New Roman"/>
                <w:color w:val="0000FF"/>
                <w:lang w:val="es-ES"/>
              </w:rPr>
              <w:t>20</w:t>
            </w:r>
          </w:p>
        </w:tc>
      </w:tr>
      <w:tr w:rsidR="00445C09" w14:paraId="36D5C900" w14:textId="77777777" w:rsidTr="00A903FD">
        <w:trPr>
          <w:tblCellSpacing w:w="15" w:type="dxa"/>
        </w:trPr>
        <w:tc>
          <w:tcPr>
            <w:tcW w:w="993" w:type="dxa"/>
            <w:vAlign w:val="center"/>
          </w:tcPr>
          <w:p w14:paraId="2C9C8622"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53.407,20</w:t>
            </w:r>
          </w:p>
        </w:tc>
        <w:tc>
          <w:tcPr>
            <w:tcW w:w="967" w:type="dxa"/>
            <w:vAlign w:val="center"/>
          </w:tcPr>
          <w:p w14:paraId="0BD29BEC"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7.791,86</w:t>
            </w:r>
          </w:p>
        </w:tc>
        <w:tc>
          <w:tcPr>
            <w:tcW w:w="1241" w:type="dxa"/>
            <w:vAlign w:val="center"/>
          </w:tcPr>
          <w:p w14:paraId="29B470D9"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16.592,80</w:t>
            </w:r>
          </w:p>
        </w:tc>
        <w:tc>
          <w:tcPr>
            <w:tcW w:w="902" w:type="dxa"/>
            <w:vAlign w:val="center"/>
          </w:tcPr>
          <w:p w14:paraId="0A59EC95"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21,50</w:t>
            </w:r>
          </w:p>
        </w:tc>
      </w:tr>
      <w:tr w:rsidR="00445C09" w14:paraId="4804B0C4" w14:textId="77777777" w:rsidTr="00A903FD">
        <w:trPr>
          <w:tblCellSpacing w:w="15" w:type="dxa"/>
        </w:trPr>
        <w:tc>
          <w:tcPr>
            <w:tcW w:w="993" w:type="dxa"/>
            <w:vAlign w:val="center"/>
          </w:tcPr>
          <w:p w14:paraId="428CD9AB"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70.000,00</w:t>
            </w:r>
          </w:p>
        </w:tc>
        <w:tc>
          <w:tcPr>
            <w:tcW w:w="967" w:type="dxa"/>
            <w:vAlign w:val="center"/>
          </w:tcPr>
          <w:p w14:paraId="308758B4"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11.359,32</w:t>
            </w:r>
          </w:p>
        </w:tc>
        <w:tc>
          <w:tcPr>
            <w:tcW w:w="1241" w:type="dxa"/>
            <w:vAlign w:val="center"/>
          </w:tcPr>
          <w:p w14:paraId="5362B43A"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20.000,00</w:t>
            </w:r>
          </w:p>
        </w:tc>
        <w:tc>
          <w:tcPr>
            <w:tcW w:w="902" w:type="dxa"/>
            <w:vAlign w:val="center"/>
          </w:tcPr>
          <w:p w14:paraId="0CA8EFD0"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22,50</w:t>
            </w:r>
          </w:p>
        </w:tc>
      </w:tr>
      <w:tr w:rsidR="00445C09" w14:paraId="3A75AEDB" w14:textId="77777777" w:rsidTr="00A903FD">
        <w:trPr>
          <w:tblCellSpacing w:w="15" w:type="dxa"/>
        </w:trPr>
        <w:tc>
          <w:tcPr>
            <w:tcW w:w="993" w:type="dxa"/>
            <w:vAlign w:val="center"/>
          </w:tcPr>
          <w:p w14:paraId="76FE1D80"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90.000,00</w:t>
            </w:r>
          </w:p>
        </w:tc>
        <w:tc>
          <w:tcPr>
            <w:tcW w:w="967" w:type="dxa"/>
            <w:vAlign w:val="center"/>
          </w:tcPr>
          <w:p w14:paraId="0DBEB096"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15.859,32</w:t>
            </w:r>
          </w:p>
        </w:tc>
        <w:tc>
          <w:tcPr>
            <w:tcW w:w="1241" w:type="dxa"/>
            <w:vAlign w:val="center"/>
          </w:tcPr>
          <w:p w14:paraId="67893259"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85.000,00</w:t>
            </w:r>
          </w:p>
        </w:tc>
        <w:tc>
          <w:tcPr>
            <w:tcW w:w="902" w:type="dxa"/>
            <w:vAlign w:val="center"/>
          </w:tcPr>
          <w:p w14:paraId="155D6198"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25,00</w:t>
            </w:r>
          </w:p>
        </w:tc>
      </w:tr>
      <w:tr w:rsidR="00445C09" w14:paraId="1D16E5D6" w14:textId="77777777" w:rsidTr="00A903FD">
        <w:trPr>
          <w:tblCellSpacing w:w="15" w:type="dxa"/>
        </w:trPr>
        <w:tc>
          <w:tcPr>
            <w:tcW w:w="993" w:type="dxa"/>
            <w:vAlign w:val="center"/>
          </w:tcPr>
          <w:p w14:paraId="4FC1C899"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175.000,00</w:t>
            </w:r>
          </w:p>
        </w:tc>
        <w:tc>
          <w:tcPr>
            <w:tcW w:w="967" w:type="dxa"/>
            <w:vAlign w:val="center"/>
          </w:tcPr>
          <w:p w14:paraId="58396288" w14:textId="77777777" w:rsidR="00445C09" w:rsidRDefault="00445C09" w:rsidP="00A903FD">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rPr>
              <w:t>37.109,32</w:t>
            </w:r>
          </w:p>
        </w:tc>
        <w:tc>
          <w:tcPr>
            <w:tcW w:w="1241" w:type="dxa"/>
            <w:vAlign w:val="center"/>
          </w:tcPr>
          <w:p w14:paraId="2C85EA27"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en adelante</w:t>
            </w:r>
          </w:p>
        </w:tc>
        <w:tc>
          <w:tcPr>
            <w:tcW w:w="902" w:type="dxa"/>
            <w:vAlign w:val="center"/>
          </w:tcPr>
          <w:p w14:paraId="28749F7A" w14:textId="77777777" w:rsidR="00445C09" w:rsidRDefault="00445C09" w:rsidP="00A903FD">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w:t>
            </w:r>
            <w:r w:rsidR="00B946DD">
              <w:rPr>
                <w:rFonts w:ascii="Times New Roman" w:hAnsi="Times New Roman"/>
                <w:color w:val="0000FF"/>
                <w:lang w:val="es-ES"/>
              </w:rPr>
              <w:t>6</w:t>
            </w:r>
            <w:r>
              <w:rPr>
                <w:rFonts w:ascii="Times New Roman" w:hAnsi="Times New Roman"/>
                <w:color w:val="0000FF"/>
                <w:lang w:val="es-ES"/>
              </w:rPr>
              <w:t>,</w:t>
            </w:r>
            <w:r w:rsidR="00B946DD">
              <w:rPr>
                <w:rFonts w:ascii="Times New Roman" w:hAnsi="Times New Roman"/>
                <w:color w:val="0000FF"/>
                <w:lang w:val="es-ES"/>
              </w:rPr>
              <w:t>0</w:t>
            </w:r>
            <w:r>
              <w:rPr>
                <w:rFonts w:ascii="Times New Roman" w:hAnsi="Times New Roman"/>
                <w:color w:val="0000FF"/>
                <w:lang w:val="es-ES"/>
              </w:rPr>
              <w:t>0</w:t>
            </w:r>
          </w:p>
        </w:tc>
      </w:tr>
    </w:tbl>
    <w:p w14:paraId="127C0668" w14:textId="77777777" w:rsidR="00445C09" w:rsidRDefault="00445C09" w:rsidP="00445C09">
      <w:pPr>
        <w:spacing w:line="280" w:lineRule="atLeast"/>
        <w:ind w:left="720"/>
        <w:jc w:val="both"/>
        <w:rPr>
          <w:rFonts w:ascii="Times New Roman" w:hAnsi="Times New Roman"/>
          <w:color w:val="0000FF"/>
          <w:sz w:val="26"/>
          <w:szCs w:val="26"/>
          <w:lang w:val="es-ES"/>
        </w:rPr>
      </w:pPr>
    </w:p>
    <w:p w14:paraId="3B0E7815" w14:textId="77777777" w:rsidR="00445C09" w:rsidRDefault="00445C09" w:rsidP="00445C09">
      <w:pPr>
        <w:spacing w:line="280" w:lineRule="atLeast"/>
        <w:ind w:left="720"/>
        <w:jc w:val="both"/>
        <w:rPr>
          <w:rFonts w:ascii="Times New Roman" w:hAnsi="Times New Roman"/>
          <w:sz w:val="26"/>
          <w:szCs w:val="26"/>
          <w:lang w:val="es-ES"/>
        </w:rPr>
      </w:pPr>
    </w:p>
    <w:p w14:paraId="35218F3A" w14:textId="77777777" w:rsidR="00445C09" w:rsidRDefault="00445C09" w:rsidP="00445C09">
      <w:pPr>
        <w:spacing w:line="280" w:lineRule="atLeast"/>
        <w:ind w:left="720"/>
        <w:jc w:val="both"/>
        <w:rPr>
          <w:rFonts w:ascii="Times New Roman" w:hAnsi="Times New Roman"/>
          <w:sz w:val="26"/>
          <w:szCs w:val="26"/>
          <w:lang w:val="es-ES"/>
        </w:rPr>
      </w:pPr>
    </w:p>
    <w:p w14:paraId="6380767D" w14:textId="77777777" w:rsidR="00445C09" w:rsidRDefault="00445C09" w:rsidP="00445C09">
      <w:pPr>
        <w:spacing w:line="280" w:lineRule="atLeast"/>
        <w:jc w:val="both"/>
        <w:rPr>
          <w:rFonts w:ascii="Times New Roman" w:hAnsi="Times New Roman"/>
          <w:sz w:val="26"/>
          <w:szCs w:val="26"/>
          <w:lang w:val="es-ES"/>
        </w:rPr>
      </w:pPr>
    </w:p>
    <w:p w14:paraId="524E921E" w14:textId="77777777" w:rsidR="00EE1145" w:rsidRDefault="00EE1145">
      <w:pPr>
        <w:spacing w:line="280" w:lineRule="atLeast"/>
        <w:ind w:left="720"/>
        <w:jc w:val="both"/>
        <w:rPr>
          <w:rFonts w:ascii="Times New Roman" w:hAnsi="Times New Roman"/>
          <w:sz w:val="26"/>
          <w:szCs w:val="26"/>
          <w:lang w:val="es-ES"/>
        </w:rPr>
      </w:pPr>
    </w:p>
    <w:p w14:paraId="2B487AA4" w14:textId="77777777" w:rsidR="00445C09" w:rsidRDefault="00445C09">
      <w:pPr>
        <w:spacing w:line="280" w:lineRule="atLeast"/>
        <w:ind w:left="720"/>
        <w:jc w:val="both"/>
        <w:rPr>
          <w:rFonts w:ascii="Times New Roman" w:hAnsi="Times New Roman"/>
          <w:sz w:val="24"/>
          <w:szCs w:val="24"/>
          <w:lang w:val="es-ES"/>
        </w:rPr>
      </w:pPr>
    </w:p>
    <w:p w14:paraId="1695B514" w14:textId="77777777" w:rsidR="00445C09" w:rsidRDefault="00445C09">
      <w:pPr>
        <w:spacing w:line="280" w:lineRule="atLeast"/>
        <w:ind w:left="720"/>
        <w:jc w:val="both"/>
        <w:rPr>
          <w:rFonts w:ascii="Times New Roman" w:hAnsi="Times New Roman"/>
          <w:sz w:val="24"/>
          <w:szCs w:val="24"/>
          <w:lang w:val="es-ES"/>
        </w:rPr>
      </w:pPr>
    </w:p>
    <w:p w14:paraId="08508F65" w14:textId="77777777" w:rsidR="00445C09" w:rsidRDefault="00445C09">
      <w:pPr>
        <w:spacing w:line="280" w:lineRule="atLeast"/>
        <w:ind w:left="720"/>
        <w:jc w:val="both"/>
        <w:rPr>
          <w:rFonts w:ascii="Times New Roman" w:hAnsi="Times New Roman"/>
          <w:sz w:val="24"/>
          <w:szCs w:val="24"/>
          <w:lang w:val="es-ES"/>
        </w:rPr>
      </w:pPr>
    </w:p>
    <w:p w14:paraId="1599C1FA" w14:textId="77777777" w:rsidR="00445C09" w:rsidRDefault="00445C09">
      <w:pPr>
        <w:spacing w:line="280" w:lineRule="atLeast"/>
        <w:ind w:left="720"/>
        <w:jc w:val="both"/>
        <w:rPr>
          <w:rFonts w:ascii="Times New Roman" w:hAnsi="Times New Roman"/>
          <w:sz w:val="24"/>
          <w:szCs w:val="24"/>
          <w:lang w:val="es-ES"/>
        </w:rPr>
      </w:pPr>
    </w:p>
    <w:p w14:paraId="46B354B5" w14:textId="77777777" w:rsidR="00445C09" w:rsidRDefault="00445C09" w:rsidP="0036265C">
      <w:pPr>
        <w:spacing w:line="280" w:lineRule="atLeast"/>
        <w:jc w:val="both"/>
        <w:rPr>
          <w:rFonts w:ascii="Times New Roman" w:hAnsi="Times New Roman"/>
          <w:sz w:val="24"/>
          <w:szCs w:val="24"/>
          <w:lang w:val="es-ES"/>
        </w:rPr>
      </w:pPr>
    </w:p>
    <w:p w14:paraId="68C58921" w14:textId="77777777" w:rsidR="00EE1145" w:rsidRPr="0035271F" w:rsidRDefault="00445C09">
      <w:pPr>
        <w:spacing w:line="280" w:lineRule="atLeast"/>
        <w:ind w:left="720"/>
        <w:jc w:val="both"/>
        <w:rPr>
          <w:rFonts w:ascii="Times New Roman" w:hAnsi="Times New Roman"/>
          <w:sz w:val="24"/>
          <w:szCs w:val="24"/>
          <w:lang w:val="es-ES"/>
        </w:rPr>
      </w:pPr>
      <w:r>
        <w:rPr>
          <w:rFonts w:ascii="Times New Roman" w:hAnsi="Times New Roman"/>
          <w:sz w:val="24"/>
          <w:szCs w:val="24"/>
          <w:lang w:val="es-ES"/>
        </w:rPr>
        <w:t xml:space="preserve">La escala estatal </w:t>
      </w:r>
      <w:r w:rsidR="00BD3DC4" w:rsidRPr="0035271F">
        <w:rPr>
          <w:rFonts w:ascii="Times New Roman" w:hAnsi="Times New Roman"/>
          <w:sz w:val="24"/>
          <w:szCs w:val="24"/>
          <w:lang w:val="es-ES"/>
        </w:rPr>
        <w:t>durante los</w:t>
      </w:r>
      <w:r w:rsidR="00EE1145" w:rsidRPr="0035271F">
        <w:rPr>
          <w:rFonts w:ascii="Times New Roman" w:hAnsi="Times New Roman"/>
          <w:sz w:val="24"/>
          <w:szCs w:val="24"/>
          <w:lang w:val="es-ES"/>
        </w:rPr>
        <w:t xml:space="preserve"> ejercicio</w:t>
      </w:r>
      <w:r w:rsidR="00BD3DC4" w:rsidRPr="0035271F">
        <w:rPr>
          <w:rFonts w:ascii="Times New Roman" w:hAnsi="Times New Roman"/>
          <w:sz w:val="24"/>
          <w:szCs w:val="24"/>
          <w:lang w:val="es-ES"/>
        </w:rPr>
        <w:t>s</w:t>
      </w:r>
      <w:r w:rsidR="00EE1145" w:rsidRPr="0035271F">
        <w:rPr>
          <w:rFonts w:ascii="Times New Roman" w:hAnsi="Times New Roman"/>
          <w:sz w:val="24"/>
          <w:szCs w:val="24"/>
          <w:lang w:val="es-ES"/>
        </w:rPr>
        <w:t xml:space="preserve"> 2016</w:t>
      </w:r>
      <w:r w:rsidR="00BD3DC4" w:rsidRPr="0035271F">
        <w:rPr>
          <w:rFonts w:ascii="Times New Roman" w:hAnsi="Times New Roman"/>
          <w:sz w:val="24"/>
          <w:szCs w:val="24"/>
          <w:lang w:val="es-ES"/>
        </w:rPr>
        <w:t xml:space="preserve"> a 2020</w:t>
      </w:r>
      <w:r w:rsidR="00EE1145" w:rsidRPr="0035271F">
        <w:rPr>
          <w:rFonts w:ascii="Times New Roman" w:hAnsi="Times New Roman"/>
          <w:sz w:val="24"/>
          <w:szCs w:val="24"/>
          <w:lang w:val="es-ES"/>
        </w:rPr>
        <w:t xml:space="preserve"> (</w:t>
      </w:r>
      <w:hyperlink r:id="rId321" w:anchor="a63" w:history="1">
        <w:r w:rsidR="00EE1145" w:rsidRPr="0035271F">
          <w:rPr>
            <w:rStyle w:val="Hipervnculo"/>
            <w:rFonts w:ascii="Times New Roman" w:hAnsi="Times New Roman"/>
            <w:sz w:val="24"/>
            <w:szCs w:val="24"/>
            <w:lang w:val="es-ES"/>
          </w:rPr>
          <w:t>art. 63 de la Ley 35/2006, modificado por la Ley 26/2014)</w:t>
        </w:r>
      </w:hyperlink>
      <w:r w:rsidR="002670CD">
        <w:rPr>
          <w:rFonts w:ascii="Times New Roman" w:hAnsi="Times New Roman"/>
          <w:sz w:val="24"/>
          <w:szCs w:val="24"/>
          <w:lang w:val="es-ES"/>
        </w:rPr>
        <w:t xml:space="preserve"> es</w:t>
      </w:r>
      <w:r w:rsidR="00EE1145" w:rsidRPr="0035271F">
        <w:rPr>
          <w:rFonts w:ascii="Times New Roman" w:hAnsi="Times New Roman"/>
          <w:sz w:val="24"/>
          <w:szCs w:val="24"/>
          <w:lang w:val="es-ES"/>
        </w:rPr>
        <w:t>:</w:t>
      </w:r>
    </w:p>
    <w:tbl>
      <w:tblPr>
        <w:tblpPr w:leftFromText="141" w:rightFromText="141" w:vertAnchor="text" w:horzAnchor="page" w:tblpX="4927" w:tblpY="169"/>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1038"/>
        <w:gridCol w:w="997"/>
        <w:gridCol w:w="1271"/>
        <w:gridCol w:w="947"/>
      </w:tblGrid>
      <w:tr w:rsidR="00EE1145" w14:paraId="55878434" w14:textId="77777777">
        <w:trPr>
          <w:tblCellSpacing w:w="15" w:type="dxa"/>
        </w:trPr>
        <w:tc>
          <w:tcPr>
            <w:tcW w:w="993" w:type="dxa"/>
            <w:vAlign w:val="center"/>
          </w:tcPr>
          <w:p w14:paraId="7D2AADF9" w14:textId="77777777" w:rsidR="00EE1145" w:rsidRDefault="00EE1145">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Base  €</w:t>
            </w:r>
          </w:p>
        </w:tc>
        <w:tc>
          <w:tcPr>
            <w:tcW w:w="967" w:type="dxa"/>
            <w:vAlign w:val="center"/>
          </w:tcPr>
          <w:p w14:paraId="69611461" w14:textId="77777777" w:rsidR="00EE1145" w:rsidRDefault="00EE1145">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Cuota €</w:t>
            </w:r>
          </w:p>
        </w:tc>
        <w:tc>
          <w:tcPr>
            <w:tcW w:w="1241" w:type="dxa"/>
            <w:vAlign w:val="center"/>
          </w:tcPr>
          <w:p w14:paraId="4C57AEDF" w14:textId="77777777" w:rsidR="00EE1145" w:rsidRDefault="00EE1145">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Resto base €</w:t>
            </w:r>
          </w:p>
        </w:tc>
        <w:tc>
          <w:tcPr>
            <w:tcW w:w="902" w:type="dxa"/>
            <w:vAlign w:val="center"/>
          </w:tcPr>
          <w:p w14:paraId="5ADC6E7C" w14:textId="77777777" w:rsidR="00EE1145" w:rsidRDefault="00EE1145">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Tipo %</w:t>
            </w:r>
          </w:p>
        </w:tc>
      </w:tr>
      <w:tr w:rsidR="00EE1145" w14:paraId="660E4E1F" w14:textId="77777777">
        <w:trPr>
          <w:tblCellSpacing w:w="15" w:type="dxa"/>
        </w:trPr>
        <w:tc>
          <w:tcPr>
            <w:tcW w:w="993" w:type="dxa"/>
            <w:vAlign w:val="center"/>
          </w:tcPr>
          <w:p w14:paraId="4AE7B414"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0,00</w:t>
            </w:r>
          </w:p>
        </w:tc>
        <w:tc>
          <w:tcPr>
            <w:tcW w:w="967" w:type="dxa"/>
            <w:vAlign w:val="center"/>
          </w:tcPr>
          <w:p w14:paraId="35F44067"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0,00</w:t>
            </w:r>
          </w:p>
        </w:tc>
        <w:tc>
          <w:tcPr>
            <w:tcW w:w="1241" w:type="dxa"/>
            <w:vAlign w:val="center"/>
          </w:tcPr>
          <w:p w14:paraId="765780C9"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12.450</w:t>
            </w:r>
          </w:p>
        </w:tc>
        <w:tc>
          <w:tcPr>
            <w:tcW w:w="902" w:type="dxa"/>
            <w:vAlign w:val="center"/>
          </w:tcPr>
          <w:p w14:paraId="15F4A944"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9,50</w:t>
            </w:r>
          </w:p>
        </w:tc>
      </w:tr>
      <w:tr w:rsidR="00EE1145" w14:paraId="6BFA7C28" w14:textId="77777777">
        <w:trPr>
          <w:tblCellSpacing w:w="15" w:type="dxa"/>
        </w:trPr>
        <w:tc>
          <w:tcPr>
            <w:tcW w:w="993" w:type="dxa"/>
            <w:vAlign w:val="center"/>
          </w:tcPr>
          <w:p w14:paraId="4DD7F2D9"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12.450</w:t>
            </w:r>
          </w:p>
        </w:tc>
        <w:tc>
          <w:tcPr>
            <w:tcW w:w="967" w:type="dxa"/>
            <w:vAlign w:val="center"/>
          </w:tcPr>
          <w:p w14:paraId="708C44C6"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1.182,75</w:t>
            </w:r>
          </w:p>
        </w:tc>
        <w:tc>
          <w:tcPr>
            <w:tcW w:w="1241" w:type="dxa"/>
            <w:vAlign w:val="center"/>
          </w:tcPr>
          <w:p w14:paraId="503746E1"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7.750</w:t>
            </w:r>
          </w:p>
        </w:tc>
        <w:tc>
          <w:tcPr>
            <w:tcW w:w="902" w:type="dxa"/>
            <w:vAlign w:val="center"/>
          </w:tcPr>
          <w:p w14:paraId="73A715C1"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12,00</w:t>
            </w:r>
          </w:p>
        </w:tc>
      </w:tr>
      <w:tr w:rsidR="00EE1145" w14:paraId="3F402A1A" w14:textId="77777777">
        <w:trPr>
          <w:tblCellSpacing w:w="15" w:type="dxa"/>
        </w:trPr>
        <w:tc>
          <w:tcPr>
            <w:tcW w:w="993" w:type="dxa"/>
            <w:vAlign w:val="center"/>
          </w:tcPr>
          <w:p w14:paraId="0379EBDE"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20.200</w:t>
            </w:r>
          </w:p>
        </w:tc>
        <w:tc>
          <w:tcPr>
            <w:tcW w:w="967" w:type="dxa"/>
            <w:vAlign w:val="center"/>
          </w:tcPr>
          <w:p w14:paraId="775A5553"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2.112,75</w:t>
            </w:r>
          </w:p>
        </w:tc>
        <w:tc>
          <w:tcPr>
            <w:tcW w:w="1241" w:type="dxa"/>
            <w:vAlign w:val="center"/>
          </w:tcPr>
          <w:p w14:paraId="5F883B66"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15.000</w:t>
            </w:r>
          </w:p>
        </w:tc>
        <w:tc>
          <w:tcPr>
            <w:tcW w:w="902" w:type="dxa"/>
            <w:vAlign w:val="center"/>
          </w:tcPr>
          <w:p w14:paraId="085BA7C7"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15,00</w:t>
            </w:r>
          </w:p>
        </w:tc>
      </w:tr>
      <w:tr w:rsidR="00EE1145" w14:paraId="0EF284B7" w14:textId="77777777">
        <w:trPr>
          <w:tblCellSpacing w:w="15" w:type="dxa"/>
        </w:trPr>
        <w:tc>
          <w:tcPr>
            <w:tcW w:w="993" w:type="dxa"/>
            <w:vAlign w:val="center"/>
          </w:tcPr>
          <w:p w14:paraId="1B9BF2C0"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35.200</w:t>
            </w:r>
          </w:p>
        </w:tc>
        <w:tc>
          <w:tcPr>
            <w:tcW w:w="967" w:type="dxa"/>
            <w:vAlign w:val="center"/>
          </w:tcPr>
          <w:p w14:paraId="48BC7848"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4.362,75</w:t>
            </w:r>
          </w:p>
        </w:tc>
        <w:tc>
          <w:tcPr>
            <w:tcW w:w="1241" w:type="dxa"/>
            <w:vAlign w:val="center"/>
          </w:tcPr>
          <w:p w14:paraId="015F3568"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24.800</w:t>
            </w:r>
          </w:p>
        </w:tc>
        <w:tc>
          <w:tcPr>
            <w:tcW w:w="902" w:type="dxa"/>
            <w:vAlign w:val="center"/>
          </w:tcPr>
          <w:p w14:paraId="3C9082B1"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18,50</w:t>
            </w:r>
          </w:p>
        </w:tc>
      </w:tr>
      <w:tr w:rsidR="00EE1145" w14:paraId="5981108C" w14:textId="77777777">
        <w:trPr>
          <w:tblCellSpacing w:w="15" w:type="dxa"/>
        </w:trPr>
        <w:tc>
          <w:tcPr>
            <w:tcW w:w="993" w:type="dxa"/>
            <w:vAlign w:val="center"/>
          </w:tcPr>
          <w:p w14:paraId="08DA1934"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60.000</w:t>
            </w:r>
          </w:p>
        </w:tc>
        <w:tc>
          <w:tcPr>
            <w:tcW w:w="967" w:type="dxa"/>
            <w:vAlign w:val="center"/>
          </w:tcPr>
          <w:p w14:paraId="3205A6A0" w14:textId="77777777" w:rsidR="00EE1145" w:rsidRDefault="00EE1145">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8.950,75</w:t>
            </w:r>
          </w:p>
        </w:tc>
        <w:tc>
          <w:tcPr>
            <w:tcW w:w="1241" w:type="dxa"/>
            <w:vAlign w:val="center"/>
          </w:tcPr>
          <w:p w14:paraId="1DD60D96"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en adelante</w:t>
            </w:r>
          </w:p>
        </w:tc>
        <w:tc>
          <w:tcPr>
            <w:tcW w:w="902" w:type="dxa"/>
            <w:vAlign w:val="center"/>
          </w:tcPr>
          <w:p w14:paraId="37D3F594" w14:textId="77777777" w:rsidR="00EE1145" w:rsidRDefault="00EE1145">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22,50</w:t>
            </w:r>
          </w:p>
        </w:tc>
      </w:tr>
    </w:tbl>
    <w:p w14:paraId="4764A646" w14:textId="77777777" w:rsidR="00EE1145" w:rsidRDefault="00EE1145">
      <w:pPr>
        <w:spacing w:line="280" w:lineRule="atLeast"/>
        <w:ind w:left="720"/>
        <w:jc w:val="both"/>
        <w:rPr>
          <w:rFonts w:ascii="Times New Roman" w:hAnsi="Times New Roman"/>
          <w:color w:val="0000FF"/>
          <w:sz w:val="26"/>
          <w:szCs w:val="26"/>
          <w:lang w:val="es-ES"/>
        </w:rPr>
      </w:pPr>
    </w:p>
    <w:p w14:paraId="7B4B95FB" w14:textId="77777777" w:rsidR="00EE1145" w:rsidRDefault="00EE1145">
      <w:pPr>
        <w:spacing w:line="280" w:lineRule="atLeast"/>
        <w:ind w:left="720"/>
        <w:jc w:val="both"/>
        <w:rPr>
          <w:rFonts w:ascii="Times New Roman" w:hAnsi="Times New Roman"/>
          <w:color w:val="0000FF"/>
          <w:sz w:val="26"/>
          <w:szCs w:val="26"/>
          <w:lang w:val="es-ES"/>
        </w:rPr>
      </w:pPr>
    </w:p>
    <w:p w14:paraId="1DC5B420" w14:textId="77777777" w:rsidR="00EE1145" w:rsidRDefault="00EE1145">
      <w:pPr>
        <w:spacing w:line="280" w:lineRule="atLeast"/>
        <w:ind w:left="720"/>
        <w:jc w:val="both"/>
        <w:rPr>
          <w:rFonts w:ascii="Times New Roman" w:hAnsi="Times New Roman"/>
          <w:sz w:val="26"/>
          <w:szCs w:val="26"/>
          <w:lang w:val="es-ES"/>
        </w:rPr>
      </w:pPr>
    </w:p>
    <w:p w14:paraId="449BDF81" w14:textId="77777777" w:rsidR="00EE1145" w:rsidRDefault="00EE1145">
      <w:pPr>
        <w:spacing w:line="280" w:lineRule="atLeast"/>
        <w:ind w:left="720"/>
        <w:jc w:val="both"/>
        <w:rPr>
          <w:rFonts w:ascii="Times New Roman" w:hAnsi="Times New Roman"/>
          <w:sz w:val="26"/>
          <w:szCs w:val="26"/>
          <w:lang w:val="es-ES"/>
        </w:rPr>
      </w:pPr>
    </w:p>
    <w:p w14:paraId="2ADA3454" w14:textId="77777777" w:rsidR="00EE1145" w:rsidRDefault="00EE1145">
      <w:pPr>
        <w:spacing w:line="280" w:lineRule="atLeast"/>
        <w:ind w:left="720"/>
        <w:jc w:val="both"/>
        <w:rPr>
          <w:rFonts w:ascii="Times New Roman" w:hAnsi="Times New Roman"/>
          <w:sz w:val="26"/>
          <w:szCs w:val="26"/>
          <w:lang w:val="es-ES"/>
        </w:rPr>
      </w:pPr>
    </w:p>
    <w:p w14:paraId="1016338A" w14:textId="77777777" w:rsidR="00EE1145" w:rsidRDefault="00EE1145">
      <w:pPr>
        <w:spacing w:line="280" w:lineRule="atLeast"/>
        <w:ind w:left="720"/>
        <w:jc w:val="both"/>
        <w:rPr>
          <w:rFonts w:ascii="Times New Roman" w:hAnsi="Times New Roman"/>
          <w:sz w:val="26"/>
          <w:szCs w:val="26"/>
          <w:lang w:val="es-ES"/>
        </w:rPr>
      </w:pPr>
    </w:p>
    <w:p w14:paraId="3EC3F160" w14:textId="77777777" w:rsidR="00EE1145" w:rsidRDefault="00EE1145">
      <w:pPr>
        <w:spacing w:line="280" w:lineRule="atLeast"/>
        <w:ind w:left="720"/>
        <w:jc w:val="both"/>
        <w:rPr>
          <w:rFonts w:ascii="Times New Roman" w:hAnsi="Times New Roman"/>
          <w:sz w:val="26"/>
          <w:szCs w:val="26"/>
          <w:lang w:val="es-ES"/>
        </w:rPr>
      </w:pPr>
    </w:p>
    <w:p w14:paraId="7E0FCB36" w14:textId="77777777" w:rsidR="00BD3DC4" w:rsidRPr="0035271F" w:rsidRDefault="002670CD" w:rsidP="00BD3DC4">
      <w:pPr>
        <w:spacing w:line="280" w:lineRule="atLeast"/>
        <w:ind w:left="720"/>
        <w:jc w:val="both"/>
        <w:rPr>
          <w:rFonts w:ascii="Times New Roman" w:hAnsi="Times New Roman"/>
          <w:sz w:val="24"/>
          <w:szCs w:val="24"/>
          <w:lang w:val="es-ES"/>
        </w:rPr>
      </w:pPr>
      <w:r>
        <w:rPr>
          <w:rFonts w:ascii="Times New Roman" w:hAnsi="Times New Roman"/>
          <w:sz w:val="24"/>
          <w:szCs w:val="24"/>
          <w:lang w:val="es-ES"/>
        </w:rPr>
        <w:t>L</w:t>
      </w:r>
      <w:r w:rsidR="00BD3DC4" w:rsidRPr="0035271F">
        <w:rPr>
          <w:rFonts w:ascii="Times New Roman" w:hAnsi="Times New Roman"/>
          <w:sz w:val="24"/>
          <w:szCs w:val="24"/>
          <w:lang w:val="es-ES"/>
        </w:rPr>
        <w:t>a escala estatal durante el ejercicio 2021 y posteriores (</w:t>
      </w:r>
      <w:hyperlink r:id="rId322" w:anchor="a58" w:history="1">
        <w:r w:rsidR="00BD3DC4" w:rsidRPr="0035271F">
          <w:rPr>
            <w:rStyle w:val="Hipervnculo"/>
            <w:rFonts w:ascii="Times New Roman" w:hAnsi="Times New Roman"/>
            <w:sz w:val="24"/>
            <w:szCs w:val="24"/>
            <w:lang w:val="es-ES"/>
          </w:rPr>
          <w:t xml:space="preserve">art. 63 de la Ley 35/2006, modificado por la </w:t>
        </w:r>
        <w:r w:rsidR="00FF1998" w:rsidRPr="0035271F">
          <w:rPr>
            <w:rStyle w:val="Hipervnculo"/>
            <w:rFonts w:ascii="Times New Roman" w:hAnsi="Times New Roman"/>
            <w:sz w:val="24"/>
            <w:szCs w:val="24"/>
            <w:lang w:val="es-ES"/>
          </w:rPr>
          <w:t>Ley 11/2020</w:t>
        </w:r>
      </w:hyperlink>
      <w:r w:rsidR="00BD3DC4" w:rsidRPr="0035271F">
        <w:rPr>
          <w:rFonts w:ascii="Times New Roman" w:hAnsi="Times New Roman"/>
          <w:sz w:val="24"/>
          <w:szCs w:val="24"/>
          <w:lang w:val="es-ES"/>
        </w:rPr>
        <w:t>)</w:t>
      </w:r>
      <w:r>
        <w:rPr>
          <w:rFonts w:ascii="Times New Roman" w:hAnsi="Times New Roman"/>
          <w:sz w:val="24"/>
          <w:szCs w:val="24"/>
          <w:lang w:val="es-ES"/>
        </w:rPr>
        <w:t xml:space="preserve"> es</w:t>
      </w:r>
      <w:r w:rsidR="00BD3DC4" w:rsidRPr="0035271F">
        <w:rPr>
          <w:rFonts w:ascii="Times New Roman" w:hAnsi="Times New Roman"/>
          <w:sz w:val="24"/>
          <w:szCs w:val="24"/>
          <w:lang w:val="es-ES"/>
        </w:rPr>
        <w:t>:</w:t>
      </w:r>
    </w:p>
    <w:tbl>
      <w:tblPr>
        <w:tblpPr w:leftFromText="141" w:rightFromText="141" w:vertAnchor="text" w:horzAnchor="page" w:tblpX="4927" w:tblpY="169"/>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1038"/>
        <w:gridCol w:w="997"/>
        <w:gridCol w:w="1271"/>
        <w:gridCol w:w="947"/>
      </w:tblGrid>
      <w:tr w:rsidR="00BD3DC4" w14:paraId="6A13F1F4" w14:textId="77777777" w:rsidTr="003F73F9">
        <w:trPr>
          <w:tblCellSpacing w:w="15" w:type="dxa"/>
        </w:trPr>
        <w:tc>
          <w:tcPr>
            <w:tcW w:w="993" w:type="dxa"/>
            <w:vAlign w:val="center"/>
          </w:tcPr>
          <w:p w14:paraId="3EF3C091" w14:textId="77777777" w:rsidR="00BD3DC4" w:rsidRDefault="00BD3DC4" w:rsidP="003F73F9">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Base  €</w:t>
            </w:r>
          </w:p>
        </w:tc>
        <w:tc>
          <w:tcPr>
            <w:tcW w:w="967" w:type="dxa"/>
            <w:vAlign w:val="center"/>
          </w:tcPr>
          <w:p w14:paraId="282F4E86" w14:textId="77777777" w:rsidR="00BD3DC4" w:rsidRDefault="00BD3DC4" w:rsidP="003F73F9">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Cuota €</w:t>
            </w:r>
          </w:p>
        </w:tc>
        <w:tc>
          <w:tcPr>
            <w:tcW w:w="1241" w:type="dxa"/>
            <w:vAlign w:val="center"/>
          </w:tcPr>
          <w:p w14:paraId="39E427F9" w14:textId="77777777" w:rsidR="00BD3DC4" w:rsidRDefault="00BD3DC4" w:rsidP="003F73F9">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Resto base €</w:t>
            </w:r>
          </w:p>
        </w:tc>
        <w:tc>
          <w:tcPr>
            <w:tcW w:w="902" w:type="dxa"/>
            <w:vAlign w:val="center"/>
          </w:tcPr>
          <w:p w14:paraId="00DE4544" w14:textId="77777777" w:rsidR="00BD3DC4" w:rsidRDefault="00BD3DC4" w:rsidP="003F73F9">
            <w:pPr>
              <w:overflowPunct/>
              <w:autoSpaceDE/>
              <w:autoSpaceDN/>
              <w:adjustRightInd/>
              <w:jc w:val="center"/>
              <w:textAlignment w:val="auto"/>
              <w:rPr>
                <w:rFonts w:ascii="Times New Roman" w:hAnsi="Times New Roman"/>
                <w:b/>
                <w:color w:val="0000FF"/>
                <w:lang w:val="es-ES"/>
              </w:rPr>
            </w:pPr>
            <w:r>
              <w:rPr>
                <w:rFonts w:ascii="Times New Roman" w:hAnsi="Times New Roman"/>
                <w:b/>
                <w:color w:val="0000FF"/>
                <w:lang w:val="es-ES"/>
              </w:rPr>
              <w:t>Tipo %</w:t>
            </w:r>
          </w:p>
        </w:tc>
      </w:tr>
      <w:tr w:rsidR="00BD3DC4" w14:paraId="5C966AA3" w14:textId="77777777" w:rsidTr="003F73F9">
        <w:trPr>
          <w:tblCellSpacing w:w="15" w:type="dxa"/>
        </w:trPr>
        <w:tc>
          <w:tcPr>
            <w:tcW w:w="993" w:type="dxa"/>
            <w:vAlign w:val="center"/>
          </w:tcPr>
          <w:p w14:paraId="1A361CF3" w14:textId="77777777" w:rsidR="00BD3DC4" w:rsidRDefault="00BD3DC4" w:rsidP="0036265C">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0,00</w:t>
            </w:r>
          </w:p>
        </w:tc>
        <w:tc>
          <w:tcPr>
            <w:tcW w:w="967" w:type="dxa"/>
            <w:vAlign w:val="center"/>
          </w:tcPr>
          <w:p w14:paraId="29014629" w14:textId="77777777" w:rsidR="00BD3DC4" w:rsidRDefault="00BD3DC4" w:rsidP="003F73F9">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0,00</w:t>
            </w:r>
          </w:p>
        </w:tc>
        <w:tc>
          <w:tcPr>
            <w:tcW w:w="1241" w:type="dxa"/>
            <w:vAlign w:val="center"/>
          </w:tcPr>
          <w:p w14:paraId="30ED48FE" w14:textId="77777777" w:rsidR="00BD3DC4" w:rsidRDefault="00BD3DC4" w:rsidP="003F73F9">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12.450</w:t>
            </w:r>
          </w:p>
        </w:tc>
        <w:tc>
          <w:tcPr>
            <w:tcW w:w="902" w:type="dxa"/>
            <w:vAlign w:val="center"/>
          </w:tcPr>
          <w:p w14:paraId="1A1617A9" w14:textId="77777777" w:rsidR="00BD3DC4" w:rsidRDefault="00BD3DC4" w:rsidP="003F73F9">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9,50</w:t>
            </w:r>
          </w:p>
        </w:tc>
      </w:tr>
      <w:tr w:rsidR="00BD3DC4" w14:paraId="3FC2E882" w14:textId="77777777" w:rsidTr="003F73F9">
        <w:trPr>
          <w:tblCellSpacing w:w="15" w:type="dxa"/>
        </w:trPr>
        <w:tc>
          <w:tcPr>
            <w:tcW w:w="993" w:type="dxa"/>
            <w:vAlign w:val="center"/>
          </w:tcPr>
          <w:p w14:paraId="1185CA8E" w14:textId="77777777" w:rsidR="00BD3DC4" w:rsidRDefault="00BD3DC4" w:rsidP="0036265C">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12.450</w:t>
            </w:r>
          </w:p>
        </w:tc>
        <w:tc>
          <w:tcPr>
            <w:tcW w:w="967" w:type="dxa"/>
            <w:vAlign w:val="center"/>
          </w:tcPr>
          <w:p w14:paraId="54B86D2C" w14:textId="77777777" w:rsidR="00BD3DC4" w:rsidRDefault="00BD3DC4" w:rsidP="003F73F9">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1.182,75</w:t>
            </w:r>
          </w:p>
        </w:tc>
        <w:tc>
          <w:tcPr>
            <w:tcW w:w="1241" w:type="dxa"/>
            <w:vAlign w:val="center"/>
          </w:tcPr>
          <w:p w14:paraId="424104AE" w14:textId="77777777" w:rsidR="00BD3DC4" w:rsidRDefault="00BD3DC4" w:rsidP="003F73F9">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7.750</w:t>
            </w:r>
          </w:p>
        </w:tc>
        <w:tc>
          <w:tcPr>
            <w:tcW w:w="902" w:type="dxa"/>
            <w:vAlign w:val="center"/>
          </w:tcPr>
          <w:p w14:paraId="535D5CEE" w14:textId="77777777" w:rsidR="00BD3DC4" w:rsidRDefault="00BD3DC4" w:rsidP="003F73F9">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12,00</w:t>
            </w:r>
          </w:p>
        </w:tc>
      </w:tr>
      <w:tr w:rsidR="00BD3DC4" w14:paraId="0517CA06" w14:textId="77777777" w:rsidTr="003F73F9">
        <w:trPr>
          <w:tblCellSpacing w:w="15" w:type="dxa"/>
        </w:trPr>
        <w:tc>
          <w:tcPr>
            <w:tcW w:w="993" w:type="dxa"/>
            <w:vAlign w:val="center"/>
          </w:tcPr>
          <w:p w14:paraId="335E9918" w14:textId="77777777" w:rsidR="00BD3DC4" w:rsidRDefault="00BD3DC4" w:rsidP="0036265C">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20.200</w:t>
            </w:r>
          </w:p>
        </w:tc>
        <w:tc>
          <w:tcPr>
            <w:tcW w:w="967" w:type="dxa"/>
            <w:vAlign w:val="center"/>
          </w:tcPr>
          <w:p w14:paraId="4F240DB4" w14:textId="77777777" w:rsidR="00BD3DC4" w:rsidRDefault="00BD3DC4" w:rsidP="003F73F9">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2.112,75</w:t>
            </w:r>
          </w:p>
        </w:tc>
        <w:tc>
          <w:tcPr>
            <w:tcW w:w="1241" w:type="dxa"/>
            <w:vAlign w:val="center"/>
          </w:tcPr>
          <w:p w14:paraId="352E8004" w14:textId="77777777" w:rsidR="00BD3DC4" w:rsidRDefault="00BD3DC4" w:rsidP="003F73F9">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15.000</w:t>
            </w:r>
          </w:p>
        </w:tc>
        <w:tc>
          <w:tcPr>
            <w:tcW w:w="902" w:type="dxa"/>
            <w:vAlign w:val="center"/>
          </w:tcPr>
          <w:p w14:paraId="53F1FA2F" w14:textId="77777777" w:rsidR="00BD3DC4" w:rsidRDefault="00BD3DC4" w:rsidP="003F73F9">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15,00</w:t>
            </w:r>
          </w:p>
        </w:tc>
      </w:tr>
      <w:tr w:rsidR="00BD3DC4" w14:paraId="598CC8EE" w14:textId="77777777" w:rsidTr="003F73F9">
        <w:trPr>
          <w:tblCellSpacing w:w="15" w:type="dxa"/>
        </w:trPr>
        <w:tc>
          <w:tcPr>
            <w:tcW w:w="993" w:type="dxa"/>
            <w:vAlign w:val="center"/>
          </w:tcPr>
          <w:p w14:paraId="7CADFFB3" w14:textId="77777777" w:rsidR="00BD3DC4" w:rsidRDefault="00BD3DC4" w:rsidP="0036265C">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35.200</w:t>
            </w:r>
          </w:p>
        </w:tc>
        <w:tc>
          <w:tcPr>
            <w:tcW w:w="967" w:type="dxa"/>
            <w:vAlign w:val="center"/>
          </w:tcPr>
          <w:p w14:paraId="3A3766B8" w14:textId="77777777" w:rsidR="00BD3DC4" w:rsidRDefault="00BD3DC4" w:rsidP="003F73F9">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4.362,75</w:t>
            </w:r>
          </w:p>
        </w:tc>
        <w:tc>
          <w:tcPr>
            <w:tcW w:w="1241" w:type="dxa"/>
            <w:vAlign w:val="center"/>
          </w:tcPr>
          <w:p w14:paraId="7A6C81DF" w14:textId="77777777" w:rsidR="00BD3DC4" w:rsidRDefault="00BD3DC4" w:rsidP="003F73F9">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24.800</w:t>
            </w:r>
          </w:p>
        </w:tc>
        <w:tc>
          <w:tcPr>
            <w:tcW w:w="902" w:type="dxa"/>
            <w:vAlign w:val="center"/>
          </w:tcPr>
          <w:p w14:paraId="2FBF50D5" w14:textId="77777777" w:rsidR="00BD3DC4" w:rsidRDefault="00BD3DC4" w:rsidP="003F73F9">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18,50</w:t>
            </w:r>
          </w:p>
        </w:tc>
      </w:tr>
      <w:tr w:rsidR="00BD3DC4" w14:paraId="73DF9D30" w14:textId="77777777" w:rsidTr="003F73F9">
        <w:trPr>
          <w:tblCellSpacing w:w="15" w:type="dxa"/>
        </w:trPr>
        <w:tc>
          <w:tcPr>
            <w:tcW w:w="993" w:type="dxa"/>
            <w:vAlign w:val="center"/>
          </w:tcPr>
          <w:p w14:paraId="09052C3B" w14:textId="77777777" w:rsidR="00BD3DC4" w:rsidRDefault="00BD3DC4" w:rsidP="00577AC0">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60.000</w:t>
            </w:r>
          </w:p>
        </w:tc>
        <w:tc>
          <w:tcPr>
            <w:tcW w:w="967" w:type="dxa"/>
            <w:vAlign w:val="center"/>
          </w:tcPr>
          <w:p w14:paraId="267E77C7" w14:textId="77777777" w:rsidR="00BD3DC4" w:rsidRDefault="00BD3DC4" w:rsidP="00577AC0">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8.950,75</w:t>
            </w:r>
          </w:p>
        </w:tc>
        <w:tc>
          <w:tcPr>
            <w:tcW w:w="1241" w:type="dxa"/>
            <w:vAlign w:val="center"/>
          </w:tcPr>
          <w:p w14:paraId="5CC5C470" w14:textId="77777777" w:rsidR="00BD3DC4" w:rsidRDefault="00EB7687" w:rsidP="00577AC0">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240.000</w:t>
            </w:r>
          </w:p>
        </w:tc>
        <w:tc>
          <w:tcPr>
            <w:tcW w:w="902" w:type="dxa"/>
            <w:vAlign w:val="center"/>
          </w:tcPr>
          <w:p w14:paraId="2A0DF0E7" w14:textId="77777777" w:rsidR="00BD3DC4" w:rsidRDefault="00BD3DC4" w:rsidP="00577AC0">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22,50</w:t>
            </w:r>
          </w:p>
        </w:tc>
      </w:tr>
    </w:tbl>
    <w:p w14:paraId="649E4162" w14:textId="77777777" w:rsidR="00BD3DC4" w:rsidRDefault="00BD3DC4" w:rsidP="00EB7687">
      <w:pPr>
        <w:ind w:left="720"/>
        <w:jc w:val="both"/>
        <w:rPr>
          <w:rFonts w:ascii="Times New Roman" w:hAnsi="Times New Roman"/>
          <w:color w:val="0000FF"/>
          <w:sz w:val="26"/>
          <w:szCs w:val="26"/>
          <w:lang w:val="es-ES"/>
        </w:rPr>
      </w:pPr>
    </w:p>
    <w:p w14:paraId="263F2BB0" w14:textId="77777777" w:rsidR="00BD3DC4" w:rsidRDefault="00BD3DC4" w:rsidP="00EB7687">
      <w:pPr>
        <w:ind w:left="720"/>
        <w:jc w:val="both"/>
        <w:rPr>
          <w:rFonts w:ascii="Times New Roman" w:hAnsi="Times New Roman"/>
          <w:color w:val="0000FF"/>
          <w:sz w:val="26"/>
          <w:szCs w:val="26"/>
          <w:lang w:val="es-ES"/>
        </w:rPr>
      </w:pPr>
    </w:p>
    <w:p w14:paraId="607BC5AB" w14:textId="77777777" w:rsidR="00BD3DC4" w:rsidRDefault="00BD3DC4" w:rsidP="00EB7687">
      <w:pPr>
        <w:ind w:left="720"/>
        <w:jc w:val="both"/>
        <w:rPr>
          <w:rFonts w:ascii="Times New Roman" w:hAnsi="Times New Roman"/>
          <w:sz w:val="26"/>
          <w:szCs w:val="26"/>
          <w:lang w:val="es-ES"/>
        </w:rPr>
      </w:pPr>
    </w:p>
    <w:p w14:paraId="075B1CF2" w14:textId="77777777" w:rsidR="00BD3DC4" w:rsidRDefault="00BD3DC4" w:rsidP="00EB7687">
      <w:pPr>
        <w:ind w:left="720"/>
        <w:jc w:val="both"/>
        <w:rPr>
          <w:rFonts w:ascii="Times New Roman" w:hAnsi="Times New Roman"/>
          <w:sz w:val="26"/>
          <w:szCs w:val="26"/>
          <w:lang w:val="es-ES"/>
        </w:rPr>
      </w:pPr>
    </w:p>
    <w:p w14:paraId="4D723200" w14:textId="77777777" w:rsidR="00BD3DC4" w:rsidRDefault="00BD3DC4" w:rsidP="00EB7687">
      <w:pPr>
        <w:ind w:left="720"/>
        <w:jc w:val="both"/>
        <w:rPr>
          <w:rFonts w:ascii="Times New Roman" w:hAnsi="Times New Roman"/>
          <w:sz w:val="26"/>
          <w:szCs w:val="26"/>
          <w:lang w:val="es-ES"/>
        </w:rPr>
      </w:pPr>
    </w:p>
    <w:p w14:paraId="30F50BC8" w14:textId="77777777" w:rsidR="00BD3DC4" w:rsidRDefault="00BD3DC4" w:rsidP="00EB7687">
      <w:pPr>
        <w:ind w:left="720"/>
        <w:jc w:val="both"/>
        <w:rPr>
          <w:rFonts w:ascii="Times New Roman" w:hAnsi="Times New Roman"/>
          <w:sz w:val="26"/>
          <w:szCs w:val="26"/>
          <w:lang w:val="es-ES"/>
        </w:rPr>
      </w:pPr>
    </w:p>
    <w:tbl>
      <w:tblPr>
        <w:tblpPr w:leftFromText="141" w:rightFromText="141" w:vertAnchor="text" w:horzAnchor="page" w:tblpX="4927" w:tblpY="169"/>
        <w:tblW w:w="0" w:type="auto"/>
        <w:tblCellSpacing w:w="15" w:type="dxa"/>
        <w:tblLayout w:type="fixed"/>
        <w:tblCellMar>
          <w:top w:w="15" w:type="dxa"/>
          <w:left w:w="15" w:type="dxa"/>
          <w:bottom w:w="15" w:type="dxa"/>
          <w:right w:w="15" w:type="dxa"/>
        </w:tblCellMar>
        <w:tblLook w:val="0000" w:firstRow="0" w:lastRow="0" w:firstColumn="0" w:lastColumn="0" w:noHBand="0" w:noVBand="0"/>
      </w:tblPr>
      <w:tblGrid>
        <w:gridCol w:w="1038"/>
        <w:gridCol w:w="997"/>
        <w:gridCol w:w="1271"/>
        <w:gridCol w:w="947"/>
      </w:tblGrid>
      <w:tr w:rsidR="00EB7687" w:rsidRPr="00EB7687" w14:paraId="4C7C1B21" w14:textId="77777777" w:rsidTr="003F73F9">
        <w:trPr>
          <w:tblCellSpacing w:w="15" w:type="dxa"/>
        </w:trPr>
        <w:tc>
          <w:tcPr>
            <w:tcW w:w="993" w:type="dxa"/>
            <w:vAlign w:val="center"/>
          </w:tcPr>
          <w:p w14:paraId="43D1D312" w14:textId="77777777" w:rsidR="00EB7687" w:rsidRPr="00EB7687" w:rsidRDefault="00EB7687" w:rsidP="0036265C">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30</w:t>
            </w:r>
            <w:r w:rsidRPr="00EB7687">
              <w:rPr>
                <w:rFonts w:ascii="Times New Roman" w:hAnsi="Times New Roman"/>
                <w:color w:val="0000FF"/>
                <w:lang w:val="es-ES"/>
              </w:rPr>
              <w:t>0.000</w:t>
            </w:r>
          </w:p>
        </w:tc>
        <w:tc>
          <w:tcPr>
            <w:tcW w:w="967" w:type="dxa"/>
            <w:vAlign w:val="center"/>
          </w:tcPr>
          <w:p w14:paraId="639B2417" w14:textId="77777777" w:rsidR="00EB7687" w:rsidRPr="00EB7687" w:rsidRDefault="00EB7687" w:rsidP="0036265C">
            <w:pPr>
              <w:overflowPunct/>
              <w:autoSpaceDE/>
              <w:autoSpaceDN/>
              <w:adjustRightInd/>
              <w:jc w:val="right"/>
              <w:textAlignment w:val="auto"/>
              <w:rPr>
                <w:rFonts w:ascii="Times New Roman" w:hAnsi="Times New Roman"/>
                <w:color w:val="0000FF"/>
                <w:lang w:val="es-ES"/>
              </w:rPr>
            </w:pPr>
            <w:r>
              <w:rPr>
                <w:rFonts w:ascii="Times New Roman" w:hAnsi="Times New Roman"/>
                <w:color w:val="0000FF"/>
                <w:lang w:val="es-ES"/>
              </w:rPr>
              <w:t>62</w:t>
            </w:r>
            <w:r w:rsidRPr="00EB7687">
              <w:rPr>
                <w:rFonts w:ascii="Times New Roman" w:hAnsi="Times New Roman"/>
                <w:color w:val="0000FF"/>
                <w:lang w:val="es-ES"/>
              </w:rPr>
              <w:t>.950,75</w:t>
            </w:r>
          </w:p>
        </w:tc>
        <w:tc>
          <w:tcPr>
            <w:tcW w:w="1241" w:type="dxa"/>
            <w:vAlign w:val="center"/>
          </w:tcPr>
          <w:p w14:paraId="51C47C4B" w14:textId="77777777" w:rsidR="00EB7687" w:rsidRPr="00EB7687" w:rsidRDefault="00EB7687" w:rsidP="00EB7687">
            <w:pPr>
              <w:overflowPunct/>
              <w:autoSpaceDE/>
              <w:autoSpaceDN/>
              <w:adjustRightInd/>
              <w:jc w:val="center"/>
              <w:textAlignment w:val="auto"/>
              <w:rPr>
                <w:rFonts w:ascii="Times New Roman" w:hAnsi="Times New Roman"/>
                <w:color w:val="0000FF"/>
                <w:lang w:val="es-ES"/>
              </w:rPr>
            </w:pPr>
            <w:r w:rsidRPr="00EB7687">
              <w:rPr>
                <w:rFonts w:ascii="Times New Roman" w:hAnsi="Times New Roman"/>
                <w:color w:val="0000FF"/>
                <w:lang w:val="es-ES"/>
              </w:rPr>
              <w:t>en adelante</w:t>
            </w:r>
          </w:p>
        </w:tc>
        <w:tc>
          <w:tcPr>
            <w:tcW w:w="902" w:type="dxa"/>
            <w:vAlign w:val="center"/>
          </w:tcPr>
          <w:p w14:paraId="79E11F56" w14:textId="77777777" w:rsidR="00EB7687" w:rsidRPr="00EB7687" w:rsidRDefault="00EB7687" w:rsidP="00EB7687">
            <w:pPr>
              <w:overflowPunct/>
              <w:autoSpaceDE/>
              <w:autoSpaceDN/>
              <w:adjustRightInd/>
              <w:jc w:val="center"/>
              <w:textAlignment w:val="auto"/>
              <w:rPr>
                <w:rFonts w:ascii="Times New Roman" w:hAnsi="Times New Roman"/>
                <w:color w:val="0000FF"/>
                <w:lang w:val="es-ES"/>
              </w:rPr>
            </w:pPr>
            <w:r>
              <w:rPr>
                <w:rFonts w:ascii="Times New Roman" w:hAnsi="Times New Roman"/>
                <w:color w:val="0000FF"/>
                <w:lang w:val="es-ES"/>
              </w:rPr>
              <w:t>24</w:t>
            </w:r>
            <w:r w:rsidRPr="00EB7687">
              <w:rPr>
                <w:rFonts w:ascii="Times New Roman" w:hAnsi="Times New Roman"/>
                <w:color w:val="0000FF"/>
                <w:lang w:val="es-ES"/>
              </w:rPr>
              <w:t>,50</w:t>
            </w:r>
          </w:p>
        </w:tc>
      </w:tr>
    </w:tbl>
    <w:p w14:paraId="5029A89D" w14:textId="77777777" w:rsidR="00BD3DC4" w:rsidRDefault="00BD3DC4">
      <w:pPr>
        <w:spacing w:line="280" w:lineRule="atLeast"/>
        <w:ind w:left="720"/>
        <w:jc w:val="both"/>
        <w:rPr>
          <w:rFonts w:ascii="Times New Roman" w:hAnsi="Times New Roman"/>
          <w:sz w:val="26"/>
          <w:szCs w:val="26"/>
          <w:lang w:val="es-ES"/>
        </w:rPr>
      </w:pPr>
    </w:p>
    <w:p w14:paraId="693670E4" w14:textId="77777777" w:rsidR="00D518AF" w:rsidRDefault="00D518AF" w:rsidP="0035271F">
      <w:pPr>
        <w:spacing w:line="280" w:lineRule="atLeast"/>
        <w:jc w:val="both"/>
        <w:rPr>
          <w:rFonts w:ascii="Times New Roman" w:hAnsi="Times New Roman"/>
          <w:sz w:val="26"/>
          <w:szCs w:val="26"/>
          <w:lang w:val="es-ES"/>
        </w:rPr>
      </w:pPr>
    </w:p>
    <w:p w14:paraId="6895BD35" w14:textId="77777777" w:rsidR="0036265C" w:rsidRDefault="0036265C" w:rsidP="0036265C">
      <w:pPr>
        <w:spacing w:line="280" w:lineRule="atLeast"/>
        <w:jc w:val="both"/>
        <w:rPr>
          <w:b/>
          <w:color w:val="000000"/>
          <w:spacing w:val="6"/>
          <w:sz w:val="24"/>
          <w:szCs w:val="24"/>
        </w:rPr>
      </w:pPr>
      <w:bookmarkStart w:id="212" w:name="t53"/>
      <w:bookmarkEnd w:id="212"/>
    </w:p>
    <w:p w14:paraId="5388870D" w14:textId="77777777" w:rsidR="0036265C" w:rsidRPr="0036265C" w:rsidRDefault="0036265C" w:rsidP="0036265C">
      <w:pPr>
        <w:spacing w:line="280" w:lineRule="atLeast"/>
        <w:jc w:val="both"/>
        <w:rPr>
          <w:b/>
          <w:color w:val="000000"/>
          <w:spacing w:val="6"/>
          <w:sz w:val="24"/>
          <w:szCs w:val="24"/>
        </w:rPr>
      </w:pPr>
    </w:p>
    <w:p w14:paraId="37B1CDAC" w14:textId="77777777" w:rsidR="00EE1145" w:rsidRPr="0035271F" w:rsidRDefault="00EE1145" w:rsidP="00C854F8">
      <w:pPr>
        <w:numPr>
          <w:ilvl w:val="1"/>
          <w:numId w:val="15"/>
        </w:numPr>
        <w:tabs>
          <w:tab w:val="clear" w:pos="792"/>
          <w:tab w:val="num" w:pos="432"/>
        </w:tabs>
        <w:spacing w:line="280" w:lineRule="atLeast"/>
        <w:ind w:left="432"/>
        <w:jc w:val="both"/>
        <w:rPr>
          <w:b/>
          <w:color w:val="000000"/>
          <w:spacing w:val="6"/>
          <w:sz w:val="24"/>
          <w:szCs w:val="24"/>
        </w:rPr>
      </w:pPr>
      <w:r w:rsidRPr="0035271F">
        <w:rPr>
          <w:b/>
          <w:color w:val="000000"/>
          <w:spacing w:val="6"/>
          <w:sz w:val="24"/>
          <w:szCs w:val="24"/>
        </w:rPr>
        <w:t>Tratamiento notarial</w:t>
      </w:r>
    </w:p>
    <w:p w14:paraId="3B2C120E" w14:textId="77777777" w:rsidR="00EE1145" w:rsidRPr="0035271F" w:rsidRDefault="00EE1145">
      <w:pPr>
        <w:spacing w:line="280" w:lineRule="atLeast"/>
        <w:ind w:left="432"/>
        <w:jc w:val="both"/>
        <w:rPr>
          <w:rFonts w:ascii="Times New Roman" w:hAnsi="Times New Roman"/>
          <w:color w:val="000000"/>
          <w:sz w:val="24"/>
          <w:szCs w:val="24"/>
        </w:rPr>
      </w:pPr>
      <w:bookmarkStart w:id="213" w:name="_Hlk216338491"/>
      <w:r w:rsidRPr="0035271F">
        <w:rPr>
          <w:color w:val="000000"/>
          <w:spacing w:val="6"/>
          <w:sz w:val="24"/>
          <w:szCs w:val="24"/>
        </w:rPr>
        <w:lastRenderedPageBreak/>
        <w:t xml:space="preserve">Para el 2016 y posteriores tener presentes los siguientes tipos totales en Asturias, aproximadamente: </w:t>
      </w:r>
      <w:r w:rsidRPr="0035271F">
        <w:rPr>
          <w:rFonts w:ascii="Times New Roman" w:hAnsi="Times New Roman"/>
          <w:color w:val="000000"/>
          <w:sz w:val="24"/>
          <w:szCs w:val="24"/>
        </w:rPr>
        <w:t>para bases de 20.000 € (21,50%),</w:t>
      </w:r>
      <w:r w:rsidRPr="0035271F">
        <w:rPr>
          <w:rFonts w:ascii="Times New Roman" w:hAnsi="Times New Roman"/>
          <w:color w:val="FF0000"/>
          <w:sz w:val="24"/>
          <w:szCs w:val="24"/>
        </w:rPr>
        <w:t xml:space="preserve"> </w:t>
      </w:r>
      <w:r w:rsidRPr="0035271F">
        <w:rPr>
          <w:rFonts w:ascii="Times New Roman" w:hAnsi="Times New Roman"/>
          <w:color w:val="000000"/>
          <w:sz w:val="24"/>
          <w:szCs w:val="24"/>
        </w:rPr>
        <w:t>36.000 € (25,25%),</w:t>
      </w:r>
      <w:r w:rsidRPr="0035271F">
        <w:rPr>
          <w:rFonts w:ascii="Times New Roman" w:hAnsi="Times New Roman"/>
          <w:color w:val="FF0000"/>
          <w:sz w:val="24"/>
          <w:szCs w:val="24"/>
        </w:rPr>
        <w:t xml:space="preserve"> </w:t>
      </w:r>
      <w:r w:rsidRPr="0035271F">
        <w:rPr>
          <w:rFonts w:ascii="Times New Roman" w:hAnsi="Times New Roman"/>
          <w:color w:val="000000"/>
          <w:sz w:val="24"/>
          <w:szCs w:val="24"/>
        </w:rPr>
        <w:t>60.000 € (30,25%),</w:t>
      </w:r>
      <w:r w:rsidRPr="0035271F">
        <w:rPr>
          <w:rFonts w:ascii="Times New Roman" w:hAnsi="Times New Roman"/>
          <w:color w:val="FF0000"/>
          <w:sz w:val="24"/>
          <w:szCs w:val="24"/>
        </w:rPr>
        <w:t xml:space="preserve"> </w:t>
      </w:r>
      <w:r w:rsidRPr="0035271F">
        <w:rPr>
          <w:rFonts w:ascii="Times New Roman" w:hAnsi="Times New Roman"/>
          <w:color w:val="000000"/>
          <w:sz w:val="24"/>
          <w:szCs w:val="24"/>
        </w:rPr>
        <w:t>120.000 (38,25%), 180.000 (41,25%). Lo que exceda de 175.000 al 48%</w:t>
      </w:r>
      <w:r w:rsidR="00BD3DC4" w:rsidRPr="0035271F">
        <w:rPr>
          <w:rFonts w:ascii="Times New Roman" w:hAnsi="Times New Roman"/>
          <w:color w:val="000000"/>
          <w:sz w:val="24"/>
          <w:szCs w:val="24"/>
        </w:rPr>
        <w:t>; y a partir del 2021 lo que exceda de 300.000 al 50%</w:t>
      </w:r>
      <w:r w:rsidR="002D7F7C">
        <w:rPr>
          <w:rFonts w:ascii="Times New Roman" w:hAnsi="Times New Roman"/>
          <w:color w:val="000000"/>
          <w:sz w:val="24"/>
          <w:szCs w:val="24"/>
        </w:rPr>
        <w:t>; más 0,5% en ambos casos a partir del 2025.</w:t>
      </w:r>
    </w:p>
    <w:bookmarkEnd w:id="213"/>
    <w:p w14:paraId="24BD835F" w14:textId="77777777" w:rsidR="00EE1145" w:rsidRPr="0035271F" w:rsidRDefault="00EE1145">
      <w:pPr>
        <w:spacing w:line="280" w:lineRule="atLeast"/>
        <w:ind w:left="432"/>
        <w:jc w:val="both"/>
        <w:rPr>
          <w:rFonts w:ascii="Times New Roman" w:hAnsi="Times New Roman"/>
          <w:sz w:val="24"/>
          <w:szCs w:val="24"/>
        </w:rPr>
      </w:pPr>
      <w:r w:rsidRPr="0035271F">
        <w:rPr>
          <w:spacing w:val="6"/>
          <w:sz w:val="24"/>
          <w:szCs w:val="24"/>
        </w:rPr>
        <w:t>Asimismo, durante el 2013 y 2014, los tipos generales eran aplicables a las ganancias de generación inferior al año</w:t>
      </w:r>
      <w:r w:rsidRPr="0035271F">
        <w:rPr>
          <w:rStyle w:val="Refdenotaalfinal"/>
          <w:b/>
          <w:spacing w:val="6"/>
          <w:sz w:val="24"/>
          <w:szCs w:val="24"/>
        </w:rPr>
        <w:endnoteReference w:id="52"/>
      </w:r>
      <w:r w:rsidRPr="0035271F">
        <w:rPr>
          <w:spacing w:val="6"/>
          <w:sz w:val="24"/>
          <w:szCs w:val="24"/>
        </w:rPr>
        <w:t xml:space="preserve"> por parte de residentes fiscales</w:t>
      </w:r>
      <w:r w:rsidRPr="0035271F">
        <w:rPr>
          <w:rStyle w:val="Refdenotaalfinal"/>
          <w:b/>
          <w:spacing w:val="6"/>
          <w:sz w:val="24"/>
          <w:szCs w:val="24"/>
        </w:rPr>
        <w:endnoteReference w:id="53"/>
      </w:r>
      <w:r w:rsidRPr="0035271F">
        <w:rPr>
          <w:spacing w:val="6"/>
          <w:sz w:val="24"/>
          <w:szCs w:val="24"/>
        </w:rPr>
        <w:t xml:space="preserve"> (</w:t>
      </w:r>
      <w:hyperlink r:id="rId323" w:anchor="a46" w:history="1">
        <w:r w:rsidRPr="0035271F">
          <w:rPr>
            <w:rStyle w:val="Hipervnculo"/>
            <w:spacing w:val="6"/>
            <w:sz w:val="24"/>
            <w:szCs w:val="24"/>
            <w:lang w:val="es-ES"/>
          </w:rPr>
          <w:t>art. 46-b de la Ley 35/2006</w:t>
        </w:r>
      </w:hyperlink>
      <w:r w:rsidRPr="0035271F">
        <w:rPr>
          <w:spacing w:val="6"/>
          <w:sz w:val="24"/>
          <w:szCs w:val="24"/>
          <w:lang w:val="es-ES"/>
        </w:rPr>
        <w:t xml:space="preserve">, tras su reforma por la </w:t>
      </w:r>
      <w:hyperlink r:id="rId324" w:history="1">
        <w:r w:rsidRPr="0035271F">
          <w:rPr>
            <w:rStyle w:val="Hipervnculo"/>
            <w:spacing w:val="6"/>
            <w:sz w:val="24"/>
            <w:szCs w:val="24"/>
            <w:lang w:val="es-ES"/>
          </w:rPr>
          <w:t>Ley 16/2012</w:t>
        </w:r>
      </w:hyperlink>
      <w:r w:rsidRPr="0035271F">
        <w:rPr>
          <w:spacing w:val="6"/>
          <w:sz w:val="24"/>
          <w:szCs w:val="24"/>
          <w:lang w:val="es-ES"/>
        </w:rPr>
        <w:t>).</w:t>
      </w:r>
    </w:p>
    <w:p w14:paraId="156596A7" w14:textId="77777777" w:rsidR="00EE1145" w:rsidRDefault="00EE1145">
      <w:pPr>
        <w:spacing w:line="280" w:lineRule="atLeast"/>
        <w:ind w:left="720"/>
        <w:jc w:val="both"/>
        <w:rPr>
          <w:rFonts w:ascii="Times New Roman" w:hAnsi="Times New Roman"/>
          <w:sz w:val="26"/>
          <w:szCs w:val="26"/>
        </w:rPr>
      </w:pPr>
      <w:r>
        <w:rPr>
          <w:rFonts w:ascii="Times New Roman" w:hAnsi="Times New Roman"/>
          <w:sz w:val="26"/>
          <w:szCs w:val="26"/>
        </w:rPr>
        <w:br w:type="page"/>
      </w:r>
    </w:p>
    <w:p w14:paraId="75512E8D" w14:textId="77777777" w:rsidR="00EE1145" w:rsidRPr="003541CB" w:rsidRDefault="00EE1145" w:rsidP="00C854F8">
      <w:pPr>
        <w:numPr>
          <w:ilvl w:val="0"/>
          <w:numId w:val="15"/>
        </w:numPr>
        <w:tabs>
          <w:tab w:val="clear" w:pos="360"/>
          <w:tab w:val="num" w:pos="0"/>
        </w:tabs>
        <w:spacing w:line="280" w:lineRule="atLeast"/>
        <w:ind w:left="0"/>
        <w:jc w:val="both"/>
        <w:rPr>
          <w:b/>
          <w:spacing w:val="6"/>
          <w:sz w:val="24"/>
          <w:szCs w:val="24"/>
        </w:rPr>
      </w:pPr>
      <w:bookmarkStart w:id="214" w:name="F"/>
      <w:bookmarkEnd w:id="214"/>
      <w:r w:rsidRPr="003541CB">
        <w:rPr>
          <w:b/>
          <w:spacing w:val="6"/>
          <w:sz w:val="24"/>
          <w:szCs w:val="24"/>
        </w:rPr>
        <w:lastRenderedPageBreak/>
        <w:t>IMPUESTO SOBRE EL PATRIMONIO</w:t>
      </w:r>
    </w:p>
    <w:bookmarkStart w:id="215" w:name="mantenimiento"/>
    <w:bookmarkStart w:id="216" w:name="l61"/>
    <w:bookmarkEnd w:id="215"/>
    <w:bookmarkEnd w:id="216"/>
    <w:p w14:paraId="4673C5AB" w14:textId="77777777" w:rsidR="00EE1145" w:rsidRPr="003541CB" w:rsidRDefault="00EE1145" w:rsidP="00C854F8">
      <w:pPr>
        <w:numPr>
          <w:ilvl w:val="0"/>
          <w:numId w:val="21"/>
        </w:numPr>
        <w:spacing w:line="280" w:lineRule="atLeast"/>
        <w:jc w:val="both"/>
        <w:rPr>
          <w:b/>
          <w:spacing w:val="6"/>
          <w:sz w:val="24"/>
          <w:szCs w:val="24"/>
        </w:rPr>
      </w:pPr>
      <w:r w:rsidRPr="003541CB">
        <w:rPr>
          <w:rFonts w:ascii="Times New Roman" w:hAnsi="Times New Roman"/>
          <w:spacing w:val="6"/>
          <w:sz w:val="24"/>
          <w:szCs w:val="24"/>
        </w:rPr>
        <w:fldChar w:fldCharType="begin"/>
      </w:r>
      <w:r w:rsidRPr="003541CB">
        <w:rPr>
          <w:rFonts w:ascii="Times New Roman" w:hAnsi="Times New Roman"/>
          <w:spacing w:val="6"/>
          <w:sz w:val="24"/>
          <w:szCs w:val="24"/>
        </w:rPr>
        <w:instrText xml:space="preserve"> HYPERLINK "http://www.boe.es/aeboe/consultas/bases_datos/act.php?id=BOE-A-1991-14392" </w:instrText>
      </w:r>
      <w:r w:rsidRPr="003541CB">
        <w:rPr>
          <w:rFonts w:ascii="Times New Roman" w:hAnsi="Times New Roman"/>
          <w:spacing w:val="6"/>
          <w:sz w:val="24"/>
          <w:szCs w:val="24"/>
        </w:rPr>
      </w:r>
      <w:r w:rsidRPr="003541CB">
        <w:rPr>
          <w:rFonts w:ascii="Times New Roman" w:hAnsi="Times New Roman"/>
          <w:spacing w:val="6"/>
          <w:sz w:val="24"/>
          <w:szCs w:val="24"/>
        </w:rPr>
        <w:fldChar w:fldCharType="separate"/>
      </w:r>
      <w:r w:rsidRPr="003541CB">
        <w:rPr>
          <w:rStyle w:val="Hipervnculo"/>
          <w:rFonts w:ascii="Times New Roman" w:hAnsi="Times New Roman"/>
          <w:spacing w:val="6"/>
          <w:sz w:val="24"/>
          <w:szCs w:val="24"/>
        </w:rPr>
        <w:t>Ley estatal 19/1991</w:t>
      </w:r>
      <w:r w:rsidRPr="003541CB">
        <w:rPr>
          <w:rFonts w:ascii="Times New Roman" w:hAnsi="Times New Roman"/>
          <w:spacing w:val="6"/>
          <w:sz w:val="24"/>
          <w:szCs w:val="24"/>
        </w:rPr>
        <w:fldChar w:fldCharType="end"/>
      </w:r>
      <w:r w:rsidRPr="003541CB">
        <w:rPr>
          <w:rFonts w:ascii="Times New Roman" w:hAnsi="Times New Roman"/>
          <w:spacing w:val="6"/>
          <w:sz w:val="24"/>
          <w:szCs w:val="24"/>
        </w:rPr>
        <w:t xml:space="preserve"> (BOE 07/06/91), con entrada en vigor el día 1 de enero de 1992</w:t>
      </w:r>
      <w:r w:rsidRPr="003541CB">
        <w:rPr>
          <w:rFonts w:ascii="Times New Roman" w:hAnsi="Times New Roman"/>
          <w:sz w:val="24"/>
          <w:szCs w:val="24"/>
        </w:rPr>
        <w:t>: en sustitución de la Ley 50/1977 que lo había creado, regula el Impuesto sobre el Patrimonio que grava el patrimonio neto de las personas físicas, sea p</w:t>
      </w:r>
      <w:r w:rsidR="001A2F4C" w:rsidRPr="003541CB">
        <w:rPr>
          <w:rFonts w:ascii="Times New Roman" w:hAnsi="Times New Roman"/>
          <w:sz w:val="24"/>
          <w:szCs w:val="24"/>
        </w:rPr>
        <w:t xml:space="preserve">or obligación personal o real, </w:t>
      </w:r>
      <w:r w:rsidRPr="003541CB">
        <w:rPr>
          <w:rFonts w:ascii="Times New Roman" w:hAnsi="Times New Roman"/>
          <w:sz w:val="24"/>
          <w:szCs w:val="24"/>
        </w:rPr>
        <w:t>a 31 de diciembre.</w:t>
      </w:r>
    </w:p>
    <w:p w14:paraId="62730111" w14:textId="77777777" w:rsidR="00EE1145" w:rsidRPr="003541CB" w:rsidRDefault="00EE1145" w:rsidP="00557043">
      <w:pPr>
        <w:spacing w:line="280" w:lineRule="atLeast"/>
        <w:ind w:left="360"/>
        <w:jc w:val="both"/>
        <w:rPr>
          <w:rFonts w:ascii="Times New Roman" w:hAnsi="Times New Roman"/>
          <w:spacing w:val="6"/>
          <w:sz w:val="24"/>
          <w:szCs w:val="24"/>
        </w:rPr>
      </w:pPr>
      <w:r w:rsidRPr="003541CB">
        <w:rPr>
          <w:rFonts w:ascii="Times New Roman" w:hAnsi="Times New Roman"/>
          <w:sz w:val="24"/>
          <w:szCs w:val="24"/>
        </w:rPr>
        <w:t>Hay que tener en cuenta entre otras las siguientes exenciones:</w:t>
      </w:r>
    </w:p>
    <w:p w14:paraId="70FCE21B" w14:textId="77777777" w:rsidR="00EE1145" w:rsidRPr="003541CB" w:rsidRDefault="00EE1145" w:rsidP="00557043">
      <w:pPr>
        <w:spacing w:line="280" w:lineRule="atLeast"/>
        <w:ind w:left="360"/>
        <w:jc w:val="both"/>
        <w:rPr>
          <w:rFonts w:ascii="Times New Roman" w:hAnsi="Times New Roman"/>
          <w:sz w:val="24"/>
          <w:szCs w:val="24"/>
          <w:lang w:val="es-ES"/>
        </w:rPr>
      </w:pPr>
      <w:r w:rsidRPr="003541CB">
        <w:rPr>
          <w:rFonts w:ascii="Times New Roman" w:hAnsi="Times New Roman"/>
          <w:sz w:val="24"/>
          <w:szCs w:val="24"/>
          <w:lang w:val="es-ES"/>
        </w:rPr>
        <w:t>- Derechos consolidados en planes de pensiones.</w:t>
      </w:r>
    </w:p>
    <w:p w14:paraId="307B2C75" w14:textId="77777777" w:rsidR="00EE1145" w:rsidRPr="003541CB" w:rsidRDefault="00EE1145" w:rsidP="00557043">
      <w:pPr>
        <w:spacing w:line="280" w:lineRule="atLeast"/>
        <w:ind w:left="360"/>
        <w:jc w:val="both"/>
        <w:rPr>
          <w:rFonts w:ascii="Times New Roman" w:hAnsi="Times New Roman"/>
          <w:sz w:val="24"/>
          <w:szCs w:val="24"/>
          <w:lang w:val="es-ES"/>
        </w:rPr>
      </w:pPr>
      <w:r w:rsidRPr="003541CB">
        <w:rPr>
          <w:rFonts w:ascii="Times New Roman" w:hAnsi="Times New Roman"/>
          <w:sz w:val="24"/>
          <w:szCs w:val="24"/>
          <w:lang w:val="es-ES"/>
        </w:rPr>
        <w:t>- Bienes necesarios para el desarrollo de la actividad empresarial o profesional.</w:t>
      </w:r>
    </w:p>
    <w:p w14:paraId="006547B8" w14:textId="77777777" w:rsidR="00EE1145" w:rsidRPr="003541CB" w:rsidRDefault="00EE1145" w:rsidP="00557043">
      <w:pPr>
        <w:spacing w:line="280" w:lineRule="atLeast"/>
        <w:ind w:left="360"/>
        <w:jc w:val="both"/>
        <w:rPr>
          <w:rFonts w:ascii="Times New Roman" w:hAnsi="Times New Roman"/>
          <w:sz w:val="24"/>
          <w:szCs w:val="24"/>
          <w:lang w:val="es-ES"/>
        </w:rPr>
      </w:pPr>
      <w:r w:rsidRPr="003541CB">
        <w:rPr>
          <w:rFonts w:ascii="Times New Roman" w:hAnsi="Times New Roman"/>
          <w:sz w:val="24"/>
          <w:szCs w:val="24"/>
          <w:lang w:val="es-ES"/>
        </w:rPr>
        <w:t>- Participación en entidades que realicen una actividad económica, siempre que el sujeto pasivo ostente una titularidad mínima del 5% (o 20% el grupo familiar), ejerza funciones de dirección y perciba por ello una remuneración que represente más del 50% de sus rendimientos.</w:t>
      </w:r>
    </w:p>
    <w:p w14:paraId="487D0EB2" w14:textId="77777777" w:rsidR="00EE1145" w:rsidRPr="003541CB" w:rsidRDefault="00EE1145" w:rsidP="00557043">
      <w:pPr>
        <w:spacing w:line="280" w:lineRule="atLeast"/>
        <w:ind w:left="360"/>
        <w:jc w:val="both"/>
        <w:rPr>
          <w:rFonts w:ascii="Times New Roman" w:hAnsi="Times New Roman"/>
          <w:sz w:val="24"/>
          <w:szCs w:val="24"/>
          <w:lang w:val="es-ES"/>
        </w:rPr>
      </w:pPr>
      <w:r w:rsidRPr="003541CB">
        <w:rPr>
          <w:rFonts w:ascii="Times New Roman" w:hAnsi="Times New Roman"/>
          <w:sz w:val="24"/>
          <w:szCs w:val="24"/>
          <w:lang w:val="es-ES"/>
        </w:rPr>
        <w:t xml:space="preserve">- La vivienda habitual hasta 150.253,03 € (adición por </w:t>
      </w:r>
      <w:hyperlink r:id="rId325" w:history="1">
        <w:r w:rsidRPr="003541CB">
          <w:rPr>
            <w:rStyle w:val="Hipervnculo"/>
            <w:rFonts w:ascii="Times New Roman" w:hAnsi="Times New Roman"/>
            <w:sz w:val="24"/>
            <w:szCs w:val="24"/>
            <w:lang w:val="es-ES"/>
          </w:rPr>
          <w:t>Ley 6/2000</w:t>
        </w:r>
      </w:hyperlink>
      <w:r w:rsidRPr="003541CB">
        <w:rPr>
          <w:rFonts w:ascii="Times New Roman" w:hAnsi="Times New Roman"/>
          <w:sz w:val="24"/>
          <w:szCs w:val="24"/>
          <w:lang w:val="es-ES"/>
        </w:rPr>
        <w:t>).</w:t>
      </w:r>
    </w:p>
    <w:p w14:paraId="00A9ACFE" w14:textId="77777777" w:rsidR="00EE1145" w:rsidRPr="003541CB" w:rsidRDefault="00EE1145" w:rsidP="00557043">
      <w:pPr>
        <w:spacing w:line="280" w:lineRule="atLeast"/>
        <w:ind w:left="360"/>
        <w:jc w:val="both"/>
        <w:rPr>
          <w:rFonts w:ascii="Times New Roman" w:hAnsi="Times New Roman"/>
          <w:sz w:val="24"/>
          <w:szCs w:val="24"/>
          <w:lang w:val="es-ES"/>
        </w:rPr>
      </w:pPr>
      <w:r w:rsidRPr="003541CB">
        <w:rPr>
          <w:rFonts w:ascii="Times New Roman" w:hAnsi="Times New Roman"/>
          <w:sz w:val="24"/>
          <w:szCs w:val="24"/>
          <w:lang w:val="es-ES"/>
        </w:rPr>
        <w:t>Así como la reducción, en concepto de mínimo exento</w:t>
      </w:r>
      <w:r w:rsidRPr="003541CB">
        <w:rPr>
          <w:rStyle w:val="Refdenotaalfinal"/>
          <w:rFonts w:ascii="Times New Roman" w:hAnsi="Times New Roman"/>
          <w:b/>
          <w:sz w:val="24"/>
          <w:szCs w:val="24"/>
          <w:lang w:val="es-ES"/>
        </w:rPr>
        <w:endnoteReference w:id="54"/>
      </w:r>
      <w:r w:rsidRPr="003541CB">
        <w:rPr>
          <w:rFonts w:ascii="Times New Roman" w:hAnsi="Times New Roman"/>
          <w:sz w:val="24"/>
          <w:szCs w:val="24"/>
          <w:lang w:val="es-ES"/>
        </w:rPr>
        <w:t xml:space="preserve">, de 108.182,18 € (modificación por </w:t>
      </w:r>
      <w:hyperlink r:id="rId326" w:history="1">
        <w:r w:rsidRPr="003541CB">
          <w:rPr>
            <w:rStyle w:val="Hipervnculo"/>
            <w:rFonts w:ascii="Times New Roman" w:hAnsi="Times New Roman"/>
            <w:sz w:val="24"/>
            <w:szCs w:val="24"/>
            <w:lang w:val="es-ES"/>
          </w:rPr>
          <w:t>Ley 21/2001</w:t>
        </w:r>
      </w:hyperlink>
      <w:r w:rsidRPr="003541CB">
        <w:rPr>
          <w:rFonts w:ascii="Times New Roman" w:hAnsi="Times New Roman"/>
          <w:sz w:val="24"/>
          <w:szCs w:val="24"/>
          <w:lang w:val="es-ES"/>
        </w:rPr>
        <w:t>).</w:t>
      </w:r>
    </w:p>
    <w:p w14:paraId="085E4479" w14:textId="77777777" w:rsidR="00EE1145" w:rsidRPr="003541CB" w:rsidRDefault="00EE1145" w:rsidP="00C854F8">
      <w:pPr>
        <w:numPr>
          <w:ilvl w:val="0"/>
          <w:numId w:val="21"/>
        </w:numPr>
        <w:spacing w:line="280" w:lineRule="atLeast"/>
        <w:jc w:val="both"/>
        <w:rPr>
          <w:rFonts w:ascii="Times New Roman" w:hAnsi="Times New Roman"/>
          <w:sz w:val="24"/>
          <w:szCs w:val="24"/>
          <w:lang w:val="es-ES"/>
        </w:rPr>
      </w:pPr>
      <w:hyperlink r:id="rId327" w:history="1">
        <w:r w:rsidRPr="003541CB">
          <w:rPr>
            <w:rStyle w:val="Hipervnculo"/>
            <w:rFonts w:ascii="Times New Roman" w:hAnsi="Times New Roman"/>
            <w:sz w:val="24"/>
            <w:szCs w:val="24"/>
            <w:lang w:val="es-ES"/>
          </w:rPr>
          <w:t>Ley estatal 4/2008</w:t>
        </w:r>
      </w:hyperlink>
      <w:r w:rsidRPr="003541CB">
        <w:rPr>
          <w:rFonts w:ascii="Times New Roman" w:hAnsi="Times New Roman"/>
          <w:sz w:val="24"/>
          <w:szCs w:val="24"/>
          <w:lang w:val="es-ES"/>
        </w:rPr>
        <w:t xml:space="preserve"> (BOE 25/12/2008): estableció, con efectos desde el 2008, una bonificación en la cuota del IP del 100% y suprimió la obligación de declaración.</w:t>
      </w:r>
    </w:p>
    <w:p w14:paraId="23759247" w14:textId="77777777" w:rsidR="00EE1145" w:rsidRPr="003541CB" w:rsidRDefault="00EE1145" w:rsidP="00C854F8">
      <w:pPr>
        <w:numPr>
          <w:ilvl w:val="0"/>
          <w:numId w:val="21"/>
        </w:numPr>
        <w:spacing w:line="280" w:lineRule="atLeast"/>
        <w:jc w:val="both"/>
        <w:rPr>
          <w:rFonts w:ascii="Times New Roman" w:hAnsi="Times New Roman"/>
          <w:sz w:val="24"/>
          <w:szCs w:val="24"/>
          <w:lang w:val="es-ES"/>
        </w:rPr>
      </w:pPr>
      <w:hyperlink r:id="rId328" w:history="1">
        <w:r w:rsidRPr="003541CB">
          <w:rPr>
            <w:rStyle w:val="Hipervnculo"/>
            <w:rFonts w:ascii="Times New Roman" w:hAnsi="Times New Roman"/>
            <w:sz w:val="24"/>
            <w:szCs w:val="24"/>
            <w:lang w:val="es-ES"/>
          </w:rPr>
          <w:t>Decreto-ley estatal 13/2011</w:t>
        </w:r>
      </w:hyperlink>
      <w:r w:rsidRPr="003541CB">
        <w:rPr>
          <w:rFonts w:ascii="Times New Roman" w:hAnsi="Times New Roman"/>
          <w:sz w:val="24"/>
          <w:szCs w:val="24"/>
          <w:lang w:val="es-ES"/>
        </w:rPr>
        <w:t xml:space="preserve"> (</w:t>
      </w:r>
      <w:r w:rsidR="001B6C24" w:rsidRPr="003541CB">
        <w:rPr>
          <w:rFonts w:ascii="Times New Roman" w:hAnsi="Times New Roman"/>
          <w:sz w:val="24"/>
          <w:szCs w:val="24"/>
          <w:lang w:val="es-ES"/>
        </w:rPr>
        <w:t>BOE 17/09/2011): restableció</w:t>
      </w:r>
      <w:r w:rsidRPr="003541CB">
        <w:rPr>
          <w:rFonts w:ascii="Times New Roman" w:hAnsi="Times New Roman"/>
          <w:sz w:val="24"/>
          <w:szCs w:val="24"/>
          <w:lang w:val="es-ES"/>
        </w:rPr>
        <w:t xml:space="preserve"> el IP para el 2011 y el 2012, que se </w:t>
      </w:r>
      <w:r w:rsidR="001B6C24" w:rsidRPr="003541CB">
        <w:rPr>
          <w:rFonts w:ascii="Times New Roman" w:hAnsi="Times New Roman"/>
          <w:sz w:val="24"/>
          <w:szCs w:val="24"/>
          <w:lang w:val="es-ES"/>
        </w:rPr>
        <w:t>fue</w:t>
      </w:r>
      <w:r w:rsidRPr="003541CB">
        <w:rPr>
          <w:rFonts w:ascii="Times New Roman" w:hAnsi="Times New Roman"/>
          <w:sz w:val="24"/>
          <w:szCs w:val="24"/>
          <w:lang w:val="es-ES"/>
        </w:rPr>
        <w:t xml:space="preserve"> prorrogando</w:t>
      </w:r>
      <w:r w:rsidR="001B6C24" w:rsidRPr="003541CB">
        <w:rPr>
          <w:rFonts w:ascii="Times New Roman" w:hAnsi="Times New Roman"/>
          <w:sz w:val="24"/>
          <w:szCs w:val="24"/>
          <w:lang w:val="es-ES"/>
        </w:rPr>
        <w:t xml:space="preserve"> anualmente desde el 2013 al 2020, hasta que volvió a establecerse indefinidamente a partir del 2021 (por la </w:t>
      </w:r>
      <w:hyperlink r:id="rId329" w:history="1">
        <w:r w:rsidR="001B6C24" w:rsidRPr="003541CB">
          <w:rPr>
            <w:rStyle w:val="Hipervnculo"/>
            <w:rFonts w:ascii="Times New Roman" w:hAnsi="Times New Roman"/>
            <w:sz w:val="24"/>
            <w:szCs w:val="24"/>
            <w:lang w:val="es-ES"/>
          </w:rPr>
          <w:t>Ley 11/2020</w:t>
        </w:r>
      </w:hyperlink>
      <w:r w:rsidR="001B6C24" w:rsidRPr="003541CB">
        <w:rPr>
          <w:rFonts w:ascii="Times New Roman" w:hAnsi="Times New Roman"/>
          <w:sz w:val="24"/>
          <w:szCs w:val="24"/>
          <w:lang w:val="es-ES"/>
        </w:rPr>
        <w:t>, que fija también una nueva tarifa en defecto de la autonómica)</w:t>
      </w:r>
      <w:r w:rsidR="00DB4A1D" w:rsidRPr="003541CB">
        <w:rPr>
          <w:rFonts w:ascii="Times New Roman" w:hAnsi="Times New Roman"/>
          <w:sz w:val="24"/>
          <w:szCs w:val="24"/>
          <w:lang w:val="es-ES"/>
        </w:rPr>
        <w:t>.</w:t>
      </w:r>
      <w:r w:rsidRPr="003541CB">
        <w:rPr>
          <w:rFonts w:ascii="Times New Roman" w:hAnsi="Times New Roman"/>
          <w:sz w:val="24"/>
          <w:szCs w:val="24"/>
          <w:lang w:val="es-ES"/>
        </w:rPr>
        <w:br/>
        <w:t>Además:</w:t>
      </w:r>
    </w:p>
    <w:p w14:paraId="7079753C" w14:textId="77777777" w:rsidR="00EE1145" w:rsidRPr="003541CB" w:rsidRDefault="00EE1145" w:rsidP="00557043">
      <w:pPr>
        <w:spacing w:line="280" w:lineRule="atLeast"/>
        <w:ind w:left="360"/>
        <w:jc w:val="both"/>
        <w:rPr>
          <w:rFonts w:ascii="Times New Roman" w:hAnsi="Times New Roman"/>
          <w:sz w:val="24"/>
          <w:szCs w:val="24"/>
          <w:lang w:val="es-ES"/>
        </w:rPr>
      </w:pPr>
      <w:r w:rsidRPr="003541CB">
        <w:rPr>
          <w:rFonts w:ascii="Times New Roman" w:hAnsi="Times New Roman"/>
          <w:sz w:val="24"/>
          <w:szCs w:val="24"/>
          <w:lang w:val="es-ES"/>
        </w:rPr>
        <w:t>- Eleva la exención por vivienda habitual a 300.000 €.</w:t>
      </w:r>
    </w:p>
    <w:p w14:paraId="7E937345" w14:textId="77777777" w:rsidR="00EE1145" w:rsidRPr="003541CB" w:rsidRDefault="00EE1145" w:rsidP="00557043">
      <w:pPr>
        <w:spacing w:line="280" w:lineRule="atLeast"/>
        <w:ind w:left="360"/>
        <w:jc w:val="both"/>
        <w:rPr>
          <w:rFonts w:ascii="Times New Roman" w:hAnsi="Times New Roman"/>
          <w:sz w:val="24"/>
          <w:szCs w:val="24"/>
          <w:lang w:val="es-ES"/>
        </w:rPr>
      </w:pPr>
      <w:r w:rsidRPr="003541CB">
        <w:rPr>
          <w:rFonts w:ascii="Times New Roman" w:hAnsi="Times New Roman"/>
          <w:sz w:val="24"/>
          <w:szCs w:val="24"/>
          <w:lang w:val="es-ES"/>
        </w:rPr>
        <w:t>- Eleva la reducción por mínimo exento a 700.000 €</w:t>
      </w:r>
      <w:r w:rsidRPr="003541CB">
        <w:rPr>
          <w:rStyle w:val="Refdenotaalfinal"/>
          <w:rFonts w:ascii="Times New Roman" w:hAnsi="Times New Roman"/>
          <w:b/>
          <w:sz w:val="24"/>
          <w:szCs w:val="24"/>
          <w:lang w:val="es-ES"/>
        </w:rPr>
        <w:endnoteReference w:id="55"/>
      </w:r>
      <w:r w:rsidRPr="003541CB">
        <w:rPr>
          <w:rFonts w:ascii="Times New Roman" w:hAnsi="Times New Roman"/>
          <w:sz w:val="24"/>
          <w:szCs w:val="24"/>
          <w:lang w:val="es-ES"/>
        </w:rPr>
        <w:t>.</w:t>
      </w:r>
    </w:p>
    <w:p w14:paraId="79BA1905" w14:textId="77777777" w:rsidR="00EE1145" w:rsidRPr="003541CB" w:rsidRDefault="00EE1145" w:rsidP="00C854F8">
      <w:pPr>
        <w:numPr>
          <w:ilvl w:val="0"/>
          <w:numId w:val="21"/>
        </w:numPr>
        <w:spacing w:line="280" w:lineRule="atLeast"/>
        <w:jc w:val="both"/>
        <w:rPr>
          <w:rFonts w:ascii="Times New Roman" w:hAnsi="Times New Roman"/>
          <w:sz w:val="24"/>
          <w:szCs w:val="24"/>
          <w:lang w:val="es-ES"/>
        </w:rPr>
      </w:pPr>
      <w:hyperlink r:id="rId330" w:anchor="a15" w:history="1">
        <w:r w:rsidRPr="003541CB">
          <w:rPr>
            <w:rStyle w:val="Hipervnculo"/>
            <w:spacing w:val="6"/>
            <w:sz w:val="24"/>
            <w:szCs w:val="24"/>
          </w:rPr>
          <w:t>Art. 15 del Decreto-legislativo asturiano 2/2014</w:t>
        </w:r>
      </w:hyperlink>
      <w:r w:rsidRPr="003541CB">
        <w:rPr>
          <w:rFonts w:ascii="Times New Roman" w:hAnsi="Times New Roman"/>
          <w:sz w:val="24"/>
          <w:szCs w:val="24"/>
          <w:lang w:val="es-ES"/>
        </w:rPr>
        <w:t>:</w:t>
      </w:r>
    </w:p>
    <w:p w14:paraId="735ED7DD" w14:textId="77777777" w:rsidR="00EE1145" w:rsidRPr="003541CB" w:rsidRDefault="00EE1145" w:rsidP="00557043">
      <w:pPr>
        <w:spacing w:line="280" w:lineRule="atLeast"/>
        <w:ind w:left="360"/>
        <w:jc w:val="both"/>
        <w:rPr>
          <w:rFonts w:ascii="Times New Roman" w:hAnsi="Times New Roman"/>
          <w:sz w:val="24"/>
          <w:szCs w:val="24"/>
          <w:lang w:val="es-ES"/>
        </w:rPr>
      </w:pPr>
      <w:r w:rsidRPr="003541CB">
        <w:rPr>
          <w:rFonts w:ascii="Times New Roman" w:hAnsi="Times New Roman"/>
          <w:sz w:val="24"/>
          <w:szCs w:val="24"/>
          <w:lang w:val="es-ES"/>
        </w:rPr>
        <w:t>- Nada dice de la reducción estatal por mínimo exento de 700.000 €, por lo que se mantiene.</w:t>
      </w:r>
    </w:p>
    <w:p w14:paraId="188C2DA7" w14:textId="77777777" w:rsidR="00EE1145" w:rsidRPr="003541CB" w:rsidRDefault="00EE1145" w:rsidP="00557043">
      <w:pPr>
        <w:spacing w:line="280" w:lineRule="atLeast"/>
        <w:ind w:left="360"/>
        <w:jc w:val="both"/>
        <w:rPr>
          <w:rFonts w:ascii="Times New Roman" w:hAnsi="Times New Roman"/>
          <w:sz w:val="24"/>
          <w:szCs w:val="24"/>
          <w:lang w:val="es-ES"/>
        </w:rPr>
      </w:pPr>
      <w:r w:rsidRPr="003541CB">
        <w:rPr>
          <w:rFonts w:ascii="Times New Roman" w:hAnsi="Times New Roman"/>
          <w:sz w:val="24"/>
          <w:szCs w:val="24"/>
          <w:lang w:val="es-ES"/>
        </w:rPr>
        <w:t>- Incrementa el tipo de gravamen estatal:</w:t>
      </w:r>
    </w:p>
    <w:p w14:paraId="54C01697" w14:textId="77777777" w:rsidR="00EE1145" w:rsidRDefault="00EE1145">
      <w:pPr>
        <w:spacing w:line="280" w:lineRule="atLeast"/>
        <w:ind w:left="1080"/>
        <w:jc w:val="both"/>
        <w:rPr>
          <w:rFonts w:ascii="Times New Roman" w:hAnsi="Times New Roman"/>
          <w:sz w:val="26"/>
          <w:szCs w:val="26"/>
          <w:lang w:val="es-ES"/>
        </w:rPr>
      </w:pPr>
    </w:p>
    <w:tbl>
      <w:tblPr>
        <w:tblpPr w:leftFromText="141" w:rightFromText="141" w:vertAnchor="text" w:horzAnchor="page" w:tblpX="4417" w:tblpY="-40"/>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1387"/>
        <w:gridCol w:w="1109"/>
        <w:gridCol w:w="1345"/>
        <w:gridCol w:w="804"/>
      </w:tblGrid>
      <w:tr w:rsidR="00EE1145" w14:paraId="4BC2EB75"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682F7E2A" w14:textId="77777777" w:rsidR="00EE1145" w:rsidRDefault="00EE1145">
            <w:pPr>
              <w:overflowPunct/>
              <w:autoSpaceDE/>
              <w:autoSpaceDN/>
              <w:adjustRightInd/>
              <w:jc w:val="center"/>
              <w:textAlignment w:val="auto"/>
              <w:rPr>
                <w:rFonts w:ascii="Verdana" w:hAnsi="Verdana"/>
                <w:b/>
                <w:color w:val="0000FF"/>
                <w:sz w:val="17"/>
                <w:szCs w:val="17"/>
                <w:lang w:val="es-ES"/>
              </w:rPr>
            </w:pPr>
            <w:r>
              <w:rPr>
                <w:rFonts w:ascii="Verdana" w:hAnsi="Verdana"/>
                <w:b/>
                <w:color w:val="0000FF"/>
                <w:sz w:val="17"/>
                <w:szCs w:val="17"/>
                <w:lang w:val="es-ES"/>
              </w:rPr>
              <w:t>Base €</w:t>
            </w:r>
          </w:p>
        </w:tc>
        <w:tc>
          <w:tcPr>
            <w:tcW w:w="0" w:type="auto"/>
            <w:tcBorders>
              <w:top w:val="outset" w:sz="6" w:space="0" w:color="auto"/>
              <w:left w:val="outset" w:sz="6" w:space="0" w:color="auto"/>
              <w:bottom w:val="outset" w:sz="6" w:space="0" w:color="auto"/>
              <w:right w:val="outset" w:sz="6" w:space="0" w:color="auto"/>
            </w:tcBorders>
            <w:vAlign w:val="center"/>
          </w:tcPr>
          <w:p w14:paraId="0107ECE6" w14:textId="77777777" w:rsidR="00EE1145" w:rsidRDefault="00EE1145">
            <w:pPr>
              <w:overflowPunct/>
              <w:autoSpaceDE/>
              <w:autoSpaceDN/>
              <w:adjustRightInd/>
              <w:jc w:val="center"/>
              <w:textAlignment w:val="auto"/>
              <w:rPr>
                <w:rFonts w:ascii="Verdana" w:hAnsi="Verdana"/>
                <w:b/>
                <w:color w:val="0000FF"/>
                <w:sz w:val="17"/>
                <w:szCs w:val="17"/>
                <w:lang w:val="es-ES"/>
              </w:rPr>
            </w:pPr>
            <w:r>
              <w:rPr>
                <w:rFonts w:ascii="Verdana" w:hAnsi="Verdana"/>
                <w:b/>
                <w:color w:val="0000FF"/>
                <w:sz w:val="17"/>
                <w:szCs w:val="17"/>
                <w:lang w:val="es-ES"/>
              </w:rPr>
              <w:t>Cuota €</w:t>
            </w:r>
          </w:p>
        </w:tc>
        <w:tc>
          <w:tcPr>
            <w:tcW w:w="0" w:type="auto"/>
            <w:tcBorders>
              <w:top w:val="outset" w:sz="6" w:space="0" w:color="auto"/>
              <w:left w:val="outset" w:sz="6" w:space="0" w:color="auto"/>
              <w:bottom w:val="outset" w:sz="6" w:space="0" w:color="auto"/>
              <w:right w:val="outset" w:sz="6" w:space="0" w:color="auto"/>
            </w:tcBorders>
            <w:vAlign w:val="center"/>
          </w:tcPr>
          <w:p w14:paraId="2817ECA7" w14:textId="77777777" w:rsidR="00EE1145" w:rsidRDefault="00EE1145">
            <w:pPr>
              <w:overflowPunct/>
              <w:autoSpaceDE/>
              <w:autoSpaceDN/>
              <w:adjustRightInd/>
              <w:jc w:val="center"/>
              <w:textAlignment w:val="auto"/>
              <w:rPr>
                <w:rFonts w:ascii="Verdana" w:hAnsi="Verdana"/>
                <w:b/>
                <w:color w:val="0000FF"/>
                <w:sz w:val="17"/>
                <w:szCs w:val="17"/>
                <w:lang w:val="es-ES"/>
              </w:rPr>
            </w:pPr>
            <w:r>
              <w:rPr>
                <w:rFonts w:ascii="Verdana" w:hAnsi="Verdana"/>
                <w:b/>
                <w:color w:val="0000FF"/>
                <w:sz w:val="17"/>
                <w:szCs w:val="17"/>
                <w:lang w:val="es-ES"/>
              </w:rPr>
              <w:t>Resto base €</w:t>
            </w:r>
          </w:p>
        </w:tc>
        <w:tc>
          <w:tcPr>
            <w:tcW w:w="0" w:type="auto"/>
            <w:tcBorders>
              <w:top w:val="outset" w:sz="6" w:space="0" w:color="auto"/>
              <w:left w:val="outset" w:sz="6" w:space="0" w:color="auto"/>
              <w:bottom w:val="outset" w:sz="6" w:space="0" w:color="auto"/>
              <w:right w:val="outset" w:sz="6" w:space="0" w:color="auto"/>
            </w:tcBorders>
            <w:vAlign w:val="center"/>
          </w:tcPr>
          <w:p w14:paraId="38DE85E1" w14:textId="77777777" w:rsidR="00EE1145" w:rsidRDefault="00EE1145">
            <w:pPr>
              <w:overflowPunct/>
              <w:autoSpaceDE/>
              <w:autoSpaceDN/>
              <w:adjustRightInd/>
              <w:jc w:val="center"/>
              <w:textAlignment w:val="auto"/>
              <w:rPr>
                <w:rFonts w:ascii="Verdana" w:hAnsi="Verdana"/>
                <w:b/>
                <w:color w:val="0000FF"/>
                <w:sz w:val="17"/>
                <w:szCs w:val="17"/>
                <w:lang w:val="es-ES"/>
              </w:rPr>
            </w:pPr>
            <w:r>
              <w:rPr>
                <w:rFonts w:ascii="Verdana" w:hAnsi="Verdana"/>
                <w:b/>
                <w:color w:val="0000FF"/>
                <w:sz w:val="17"/>
                <w:szCs w:val="17"/>
                <w:lang w:val="es-ES"/>
              </w:rPr>
              <w:t>Tipo %</w:t>
            </w:r>
          </w:p>
        </w:tc>
      </w:tr>
      <w:tr w:rsidR="00EE1145" w14:paraId="33C9F4C0"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bottom"/>
          </w:tcPr>
          <w:p w14:paraId="0FCFBA14"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0,00</w:t>
            </w:r>
          </w:p>
        </w:tc>
        <w:tc>
          <w:tcPr>
            <w:tcW w:w="0" w:type="auto"/>
            <w:tcBorders>
              <w:top w:val="outset" w:sz="6" w:space="0" w:color="auto"/>
              <w:left w:val="outset" w:sz="6" w:space="0" w:color="auto"/>
              <w:bottom w:val="outset" w:sz="6" w:space="0" w:color="auto"/>
              <w:right w:val="outset" w:sz="6" w:space="0" w:color="auto"/>
            </w:tcBorders>
            <w:vAlign w:val="bottom"/>
          </w:tcPr>
          <w:p w14:paraId="2F224B30"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0,00</w:t>
            </w:r>
          </w:p>
        </w:tc>
        <w:tc>
          <w:tcPr>
            <w:tcW w:w="0" w:type="auto"/>
            <w:tcBorders>
              <w:top w:val="outset" w:sz="6" w:space="0" w:color="auto"/>
              <w:left w:val="outset" w:sz="6" w:space="0" w:color="auto"/>
              <w:bottom w:val="outset" w:sz="6" w:space="0" w:color="auto"/>
              <w:right w:val="outset" w:sz="6" w:space="0" w:color="auto"/>
            </w:tcBorders>
            <w:vAlign w:val="bottom"/>
          </w:tcPr>
          <w:p w14:paraId="51AB3393"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167.129,45</w:t>
            </w:r>
          </w:p>
        </w:tc>
        <w:tc>
          <w:tcPr>
            <w:tcW w:w="0" w:type="auto"/>
            <w:tcBorders>
              <w:top w:val="outset" w:sz="6" w:space="0" w:color="auto"/>
              <w:left w:val="outset" w:sz="6" w:space="0" w:color="auto"/>
              <w:bottom w:val="outset" w:sz="6" w:space="0" w:color="auto"/>
              <w:right w:val="outset" w:sz="6" w:space="0" w:color="auto"/>
            </w:tcBorders>
            <w:vAlign w:val="bottom"/>
          </w:tcPr>
          <w:p w14:paraId="2FE65EA7" w14:textId="77777777" w:rsidR="00EE1145" w:rsidRDefault="00EE1145">
            <w:pPr>
              <w:overflowPunct/>
              <w:autoSpaceDE/>
              <w:autoSpaceDN/>
              <w:adjustRightInd/>
              <w:jc w:val="center"/>
              <w:textAlignment w:val="auto"/>
              <w:rPr>
                <w:rFonts w:ascii="Verdana" w:hAnsi="Verdana"/>
                <w:color w:val="0000FF"/>
                <w:sz w:val="17"/>
                <w:szCs w:val="17"/>
                <w:lang w:val="es-ES"/>
              </w:rPr>
            </w:pPr>
            <w:r>
              <w:rPr>
                <w:rFonts w:ascii="Verdana" w:hAnsi="Verdana"/>
                <w:color w:val="0000FF"/>
                <w:sz w:val="17"/>
                <w:szCs w:val="17"/>
                <w:lang w:val="es-ES"/>
              </w:rPr>
              <w:t>0,22%</w:t>
            </w:r>
          </w:p>
        </w:tc>
      </w:tr>
      <w:tr w:rsidR="00EE1145" w14:paraId="13DE6267"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bottom"/>
          </w:tcPr>
          <w:p w14:paraId="65BF398C"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167.129,45</w:t>
            </w:r>
          </w:p>
        </w:tc>
        <w:tc>
          <w:tcPr>
            <w:tcW w:w="0" w:type="auto"/>
            <w:tcBorders>
              <w:top w:val="outset" w:sz="6" w:space="0" w:color="auto"/>
              <w:left w:val="outset" w:sz="6" w:space="0" w:color="auto"/>
              <w:bottom w:val="outset" w:sz="6" w:space="0" w:color="auto"/>
              <w:right w:val="outset" w:sz="6" w:space="0" w:color="auto"/>
            </w:tcBorders>
            <w:vAlign w:val="bottom"/>
          </w:tcPr>
          <w:p w14:paraId="740F9ADB"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367,68</w:t>
            </w:r>
          </w:p>
        </w:tc>
        <w:tc>
          <w:tcPr>
            <w:tcW w:w="0" w:type="auto"/>
            <w:tcBorders>
              <w:top w:val="outset" w:sz="6" w:space="0" w:color="auto"/>
              <w:left w:val="outset" w:sz="6" w:space="0" w:color="auto"/>
              <w:bottom w:val="outset" w:sz="6" w:space="0" w:color="auto"/>
              <w:right w:val="outset" w:sz="6" w:space="0" w:color="auto"/>
            </w:tcBorders>
            <w:vAlign w:val="bottom"/>
          </w:tcPr>
          <w:p w14:paraId="15B4AC16"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167.123,43</w:t>
            </w:r>
          </w:p>
        </w:tc>
        <w:tc>
          <w:tcPr>
            <w:tcW w:w="0" w:type="auto"/>
            <w:tcBorders>
              <w:top w:val="outset" w:sz="6" w:space="0" w:color="auto"/>
              <w:left w:val="outset" w:sz="6" w:space="0" w:color="auto"/>
              <w:bottom w:val="outset" w:sz="6" w:space="0" w:color="auto"/>
              <w:right w:val="outset" w:sz="6" w:space="0" w:color="auto"/>
            </w:tcBorders>
            <w:vAlign w:val="bottom"/>
          </w:tcPr>
          <w:p w14:paraId="4F3A8A74" w14:textId="77777777" w:rsidR="00EE1145" w:rsidRDefault="00EE1145">
            <w:pPr>
              <w:overflowPunct/>
              <w:autoSpaceDE/>
              <w:autoSpaceDN/>
              <w:adjustRightInd/>
              <w:jc w:val="center"/>
              <w:textAlignment w:val="auto"/>
              <w:rPr>
                <w:rFonts w:ascii="Verdana" w:hAnsi="Verdana"/>
                <w:color w:val="0000FF"/>
                <w:sz w:val="17"/>
                <w:szCs w:val="17"/>
                <w:lang w:val="es-ES"/>
              </w:rPr>
            </w:pPr>
            <w:r>
              <w:rPr>
                <w:rFonts w:ascii="Verdana" w:hAnsi="Verdana"/>
                <w:color w:val="0000FF"/>
                <w:sz w:val="17"/>
                <w:szCs w:val="17"/>
                <w:lang w:val="es-ES"/>
              </w:rPr>
              <w:t>0,33%</w:t>
            </w:r>
          </w:p>
        </w:tc>
      </w:tr>
      <w:tr w:rsidR="00EE1145" w14:paraId="5A68B601"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bottom"/>
          </w:tcPr>
          <w:p w14:paraId="5571D039"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334.252,88</w:t>
            </w:r>
          </w:p>
        </w:tc>
        <w:tc>
          <w:tcPr>
            <w:tcW w:w="0" w:type="auto"/>
            <w:tcBorders>
              <w:top w:val="outset" w:sz="6" w:space="0" w:color="auto"/>
              <w:left w:val="outset" w:sz="6" w:space="0" w:color="auto"/>
              <w:bottom w:val="outset" w:sz="6" w:space="0" w:color="auto"/>
              <w:right w:val="outset" w:sz="6" w:space="0" w:color="auto"/>
            </w:tcBorders>
            <w:vAlign w:val="bottom"/>
          </w:tcPr>
          <w:p w14:paraId="0A4E0D80"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919,19</w:t>
            </w:r>
          </w:p>
        </w:tc>
        <w:tc>
          <w:tcPr>
            <w:tcW w:w="0" w:type="auto"/>
            <w:tcBorders>
              <w:top w:val="outset" w:sz="6" w:space="0" w:color="auto"/>
              <w:left w:val="outset" w:sz="6" w:space="0" w:color="auto"/>
              <w:bottom w:val="outset" w:sz="6" w:space="0" w:color="auto"/>
              <w:right w:val="outset" w:sz="6" w:space="0" w:color="auto"/>
            </w:tcBorders>
            <w:vAlign w:val="bottom"/>
          </w:tcPr>
          <w:p w14:paraId="6F68A577"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334.246,87</w:t>
            </w:r>
          </w:p>
        </w:tc>
        <w:tc>
          <w:tcPr>
            <w:tcW w:w="0" w:type="auto"/>
            <w:tcBorders>
              <w:top w:val="outset" w:sz="6" w:space="0" w:color="auto"/>
              <w:left w:val="outset" w:sz="6" w:space="0" w:color="auto"/>
              <w:bottom w:val="outset" w:sz="6" w:space="0" w:color="auto"/>
              <w:right w:val="outset" w:sz="6" w:space="0" w:color="auto"/>
            </w:tcBorders>
            <w:vAlign w:val="bottom"/>
          </w:tcPr>
          <w:p w14:paraId="1CA0A864" w14:textId="77777777" w:rsidR="00EE1145" w:rsidRDefault="00EE1145">
            <w:pPr>
              <w:overflowPunct/>
              <w:autoSpaceDE/>
              <w:autoSpaceDN/>
              <w:adjustRightInd/>
              <w:jc w:val="center"/>
              <w:textAlignment w:val="auto"/>
              <w:rPr>
                <w:rFonts w:ascii="Verdana" w:hAnsi="Verdana"/>
                <w:color w:val="0000FF"/>
                <w:sz w:val="17"/>
                <w:szCs w:val="17"/>
                <w:lang w:val="es-ES"/>
              </w:rPr>
            </w:pPr>
            <w:r>
              <w:rPr>
                <w:rFonts w:ascii="Verdana" w:hAnsi="Verdana"/>
                <w:color w:val="0000FF"/>
                <w:sz w:val="17"/>
                <w:szCs w:val="17"/>
                <w:lang w:val="es-ES"/>
              </w:rPr>
              <w:t>0,56%</w:t>
            </w:r>
          </w:p>
        </w:tc>
      </w:tr>
      <w:tr w:rsidR="00EE1145" w14:paraId="58006AB9"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bottom"/>
          </w:tcPr>
          <w:p w14:paraId="7E1B2E9C"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668.499,75</w:t>
            </w:r>
          </w:p>
        </w:tc>
        <w:tc>
          <w:tcPr>
            <w:tcW w:w="0" w:type="auto"/>
            <w:tcBorders>
              <w:top w:val="outset" w:sz="6" w:space="0" w:color="auto"/>
              <w:left w:val="outset" w:sz="6" w:space="0" w:color="auto"/>
              <w:bottom w:val="outset" w:sz="6" w:space="0" w:color="auto"/>
              <w:right w:val="outset" w:sz="6" w:space="0" w:color="auto"/>
            </w:tcBorders>
            <w:vAlign w:val="bottom"/>
          </w:tcPr>
          <w:p w14:paraId="73D8063D"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2.757,55</w:t>
            </w:r>
          </w:p>
        </w:tc>
        <w:tc>
          <w:tcPr>
            <w:tcW w:w="0" w:type="auto"/>
            <w:tcBorders>
              <w:top w:val="outset" w:sz="6" w:space="0" w:color="auto"/>
              <w:left w:val="outset" w:sz="6" w:space="0" w:color="auto"/>
              <w:bottom w:val="outset" w:sz="6" w:space="0" w:color="auto"/>
              <w:right w:val="outset" w:sz="6" w:space="0" w:color="auto"/>
            </w:tcBorders>
            <w:vAlign w:val="bottom"/>
          </w:tcPr>
          <w:p w14:paraId="41743DD5"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668.499,76</w:t>
            </w:r>
          </w:p>
        </w:tc>
        <w:tc>
          <w:tcPr>
            <w:tcW w:w="0" w:type="auto"/>
            <w:tcBorders>
              <w:top w:val="outset" w:sz="6" w:space="0" w:color="auto"/>
              <w:left w:val="outset" w:sz="6" w:space="0" w:color="auto"/>
              <w:bottom w:val="outset" w:sz="6" w:space="0" w:color="auto"/>
              <w:right w:val="outset" w:sz="6" w:space="0" w:color="auto"/>
            </w:tcBorders>
            <w:vAlign w:val="bottom"/>
          </w:tcPr>
          <w:p w14:paraId="2374EEF8" w14:textId="77777777" w:rsidR="00EE1145" w:rsidRDefault="00EE1145">
            <w:pPr>
              <w:overflowPunct/>
              <w:autoSpaceDE/>
              <w:autoSpaceDN/>
              <w:adjustRightInd/>
              <w:jc w:val="center"/>
              <w:textAlignment w:val="auto"/>
              <w:rPr>
                <w:rFonts w:ascii="Verdana" w:hAnsi="Verdana"/>
                <w:color w:val="0000FF"/>
                <w:sz w:val="17"/>
                <w:szCs w:val="17"/>
                <w:lang w:val="es-ES"/>
              </w:rPr>
            </w:pPr>
            <w:r>
              <w:rPr>
                <w:rFonts w:ascii="Verdana" w:hAnsi="Verdana"/>
                <w:color w:val="0000FF"/>
                <w:sz w:val="17"/>
                <w:szCs w:val="17"/>
                <w:lang w:val="es-ES"/>
              </w:rPr>
              <w:t>1,02%</w:t>
            </w:r>
          </w:p>
        </w:tc>
      </w:tr>
      <w:tr w:rsidR="00EE1145" w14:paraId="55B62D21"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bottom"/>
          </w:tcPr>
          <w:p w14:paraId="230B11C0"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1.336.999,51</w:t>
            </w:r>
          </w:p>
        </w:tc>
        <w:tc>
          <w:tcPr>
            <w:tcW w:w="0" w:type="auto"/>
            <w:tcBorders>
              <w:top w:val="outset" w:sz="6" w:space="0" w:color="auto"/>
              <w:left w:val="outset" w:sz="6" w:space="0" w:color="auto"/>
              <w:bottom w:val="outset" w:sz="6" w:space="0" w:color="auto"/>
              <w:right w:val="outset" w:sz="6" w:space="0" w:color="auto"/>
            </w:tcBorders>
            <w:vAlign w:val="bottom"/>
          </w:tcPr>
          <w:p w14:paraId="7AB4C4B8"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9.375,70</w:t>
            </w:r>
          </w:p>
        </w:tc>
        <w:tc>
          <w:tcPr>
            <w:tcW w:w="0" w:type="auto"/>
            <w:tcBorders>
              <w:top w:val="outset" w:sz="6" w:space="0" w:color="auto"/>
              <w:left w:val="outset" w:sz="6" w:space="0" w:color="auto"/>
              <w:bottom w:val="outset" w:sz="6" w:space="0" w:color="auto"/>
              <w:right w:val="outset" w:sz="6" w:space="0" w:color="auto"/>
            </w:tcBorders>
            <w:vAlign w:val="bottom"/>
          </w:tcPr>
          <w:p w14:paraId="03EBBC1C"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1.336.999,50</w:t>
            </w:r>
          </w:p>
        </w:tc>
        <w:tc>
          <w:tcPr>
            <w:tcW w:w="0" w:type="auto"/>
            <w:tcBorders>
              <w:top w:val="outset" w:sz="6" w:space="0" w:color="auto"/>
              <w:left w:val="outset" w:sz="6" w:space="0" w:color="auto"/>
              <w:bottom w:val="outset" w:sz="6" w:space="0" w:color="auto"/>
              <w:right w:val="outset" w:sz="6" w:space="0" w:color="auto"/>
            </w:tcBorders>
            <w:vAlign w:val="bottom"/>
          </w:tcPr>
          <w:p w14:paraId="059C3BFE" w14:textId="77777777" w:rsidR="00EE1145" w:rsidRDefault="00EE1145">
            <w:pPr>
              <w:overflowPunct/>
              <w:autoSpaceDE/>
              <w:autoSpaceDN/>
              <w:adjustRightInd/>
              <w:jc w:val="center"/>
              <w:textAlignment w:val="auto"/>
              <w:rPr>
                <w:rFonts w:ascii="Verdana" w:hAnsi="Verdana"/>
                <w:color w:val="0000FF"/>
                <w:sz w:val="17"/>
                <w:szCs w:val="17"/>
                <w:lang w:val="es-ES"/>
              </w:rPr>
            </w:pPr>
            <w:r>
              <w:rPr>
                <w:rFonts w:ascii="Verdana" w:hAnsi="Verdana"/>
                <w:color w:val="0000FF"/>
                <w:sz w:val="17"/>
                <w:szCs w:val="17"/>
                <w:lang w:val="es-ES"/>
              </w:rPr>
              <w:t>1,48%</w:t>
            </w:r>
          </w:p>
        </w:tc>
      </w:tr>
      <w:tr w:rsidR="00EE1145" w14:paraId="0CDB36A5"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bottom"/>
          </w:tcPr>
          <w:p w14:paraId="48EE2B1F"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2.673.999,01</w:t>
            </w:r>
          </w:p>
        </w:tc>
        <w:tc>
          <w:tcPr>
            <w:tcW w:w="0" w:type="auto"/>
            <w:tcBorders>
              <w:top w:val="outset" w:sz="6" w:space="0" w:color="auto"/>
              <w:left w:val="outset" w:sz="6" w:space="0" w:color="auto"/>
              <w:bottom w:val="outset" w:sz="6" w:space="0" w:color="auto"/>
              <w:right w:val="outset" w:sz="6" w:space="0" w:color="auto"/>
            </w:tcBorders>
            <w:vAlign w:val="bottom"/>
          </w:tcPr>
          <w:p w14:paraId="73F91FD2"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28.494,79</w:t>
            </w:r>
          </w:p>
        </w:tc>
        <w:tc>
          <w:tcPr>
            <w:tcW w:w="0" w:type="auto"/>
            <w:tcBorders>
              <w:top w:val="outset" w:sz="6" w:space="0" w:color="auto"/>
              <w:left w:val="outset" w:sz="6" w:space="0" w:color="auto"/>
              <w:bottom w:val="outset" w:sz="6" w:space="0" w:color="auto"/>
              <w:right w:val="outset" w:sz="6" w:space="0" w:color="auto"/>
            </w:tcBorders>
            <w:vAlign w:val="bottom"/>
          </w:tcPr>
          <w:p w14:paraId="3746BA25"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2.673.999,02</w:t>
            </w:r>
          </w:p>
        </w:tc>
        <w:tc>
          <w:tcPr>
            <w:tcW w:w="0" w:type="auto"/>
            <w:tcBorders>
              <w:top w:val="outset" w:sz="6" w:space="0" w:color="auto"/>
              <w:left w:val="outset" w:sz="6" w:space="0" w:color="auto"/>
              <w:bottom w:val="outset" w:sz="6" w:space="0" w:color="auto"/>
              <w:right w:val="outset" w:sz="6" w:space="0" w:color="auto"/>
            </w:tcBorders>
            <w:vAlign w:val="bottom"/>
          </w:tcPr>
          <w:p w14:paraId="2F5FE4D9" w14:textId="77777777" w:rsidR="00EE1145" w:rsidRDefault="00EE1145">
            <w:pPr>
              <w:overflowPunct/>
              <w:autoSpaceDE/>
              <w:autoSpaceDN/>
              <w:adjustRightInd/>
              <w:jc w:val="center"/>
              <w:textAlignment w:val="auto"/>
              <w:rPr>
                <w:rFonts w:ascii="Verdana" w:hAnsi="Verdana"/>
                <w:color w:val="0000FF"/>
                <w:sz w:val="17"/>
                <w:szCs w:val="17"/>
                <w:lang w:val="es-ES"/>
              </w:rPr>
            </w:pPr>
            <w:r>
              <w:rPr>
                <w:rFonts w:ascii="Verdana" w:hAnsi="Verdana"/>
                <w:color w:val="0000FF"/>
                <w:sz w:val="17"/>
                <w:szCs w:val="17"/>
                <w:lang w:val="es-ES"/>
              </w:rPr>
              <w:t>1,97%</w:t>
            </w:r>
          </w:p>
        </w:tc>
      </w:tr>
      <w:tr w:rsidR="00EE1145" w14:paraId="57940847"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bottom"/>
          </w:tcPr>
          <w:p w14:paraId="50CC1B4D"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5.347.998,03</w:t>
            </w:r>
          </w:p>
        </w:tc>
        <w:tc>
          <w:tcPr>
            <w:tcW w:w="0" w:type="auto"/>
            <w:tcBorders>
              <w:top w:val="outset" w:sz="6" w:space="0" w:color="auto"/>
              <w:left w:val="outset" w:sz="6" w:space="0" w:color="auto"/>
              <w:bottom w:val="outset" w:sz="6" w:space="0" w:color="auto"/>
              <w:right w:val="outset" w:sz="6" w:space="0" w:color="auto"/>
            </w:tcBorders>
            <w:vAlign w:val="bottom"/>
          </w:tcPr>
          <w:p w14:paraId="41403E20"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78.498,57</w:t>
            </w:r>
          </w:p>
        </w:tc>
        <w:tc>
          <w:tcPr>
            <w:tcW w:w="0" w:type="auto"/>
            <w:tcBorders>
              <w:top w:val="outset" w:sz="6" w:space="0" w:color="auto"/>
              <w:left w:val="outset" w:sz="6" w:space="0" w:color="auto"/>
              <w:bottom w:val="outset" w:sz="6" w:space="0" w:color="auto"/>
              <w:right w:val="outset" w:sz="6" w:space="0" w:color="auto"/>
            </w:tcBorders>
            <w:vAlign w:val="bottom"/>
          </w:tcPr>
          <w:p w14:paraId="589C33B4"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5.347.998,03</w:t>
            </w:r>
          </w:p>
        </w:tc>
        <w:tc>
          <w:tcPr>
            <w:tcW w:w="0" w:type="auto"/>
            <w:tcBorders>
              <w:top w:val="outset" w:sz="6" w:space="0" w:color="auto"/>
              <w:left w:val="outset" w:sz="6" w:space="0" w:color="auto"/>
              <w:bottom w:val="outset" w:sz="6" w:space="0" w:color="auto"/>
              <w:right w:val="outset" w:sz="6" w:space="0" w:color="auto"/>
            </w:tcBorders>
            <w:vAlign w:val="bottom"/>
          </w:tcPr>
          <w:p w14:paraId="7B7877AC" w14:textId="77777777" w:rsidR="00EE1145" w:rsidRDefault="00EE1145">
            <w:pPr>
              <w:overflowPunct/>
              <w:autoSpaceDE/>
              <w:autoSpaceDN/>
              <w:adjustRightInd/>
              <w:jc w:val="center"/>
              <w:textAlignment w:val="auto"/>
              <w:rPr>
                <w:rFonts w:ascii="Verdana" w:hAnsi="Verdana"/>
                <w:color w:val="0000FF"/>
                <w:sz w:val="17"/>
                <w:szCs w:val="17"/>
                <w:lang w:val="es-ES"/>
              </w:rPr>
            </w:pPr>
            <w:r>
              <w:rPr>
                <w:rFonts w:ascii="Verdana" w:hAnsi="Verdana"/>
                <w:color w:val="0000FF"/>
                <w:sz w:val="17"/>
                <w:szCs w:val="17"/>
                <w:lang w:val="es-ES"/>
              </w:rPr>
              <w:t>2,48%</w:t>
            </w:r>
          </w:p>
        </w:tc>
      </w:tr>
      <w:tr w:rsidR="00EE1145" w14:paraId="62097BF2"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bottom"/>
          </w:tcPr>
          <w:p w14:paraId="650E834D"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10.695.996,06</w:t>
            </w:r>
          </w:p>
        </w:tc>
        <w:tc>
          <w:tcPr>
            <w:tcW w:w="0" w:type="auto"/>
            <w:tcBorders>
              <w:top w:val="outset" w:sz="6" w:space="0" w:color="auto"/>
              <w:left w:val="outset" w:sz="6" w:space="0" w:color="auto"/>
              <w:bottom w:val="outset" w:sz="6" w:space="0" w:color="auto"/>
              <w:right w:val="outset" w:sz="6" w:space="0" w:color="auto"/>
            </w:tcBorders>
            <w:vAlign w:val="bottom"/>
          </w:tcPr>
          <w:p w14:paraId="78D0164F"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202.037,33</w:t>
            </w:r>
          </w:p>
        </w:tc>
        <w:tc>
          <w:tcPr>
            <w:tcW w:w="0" w:type="auto"/>
            <w:tcBorders>
              <w:top w:val="outset" w:sz="6" w:space="0" w:color="auto"/>
              <w:left w:val="outset" w:sz="6" w:space="0" w:color="auto"/>
              <w:bottom w:val="outset" w:sz="6" w:space="0" w:color="auto"/>
              <w:right w:val="outset" w:sz="6" w:space="0" w:color="auto"/>
            </w:tcBorders>
            <w:vAlign w:val="bottom"/>
          </w:tcPr>
          <w:p w14:paraId="61F4BFC5" w14:textId="77777777" w:rsidR="00EE1145" w:rsidRDefault="00EE1145">
            <w:pPr>
              <w:overflowPunct/>
              <w:autoSpaceDE/>
              <w:autoSpaceDN/>
              <w:adjustRightInd/>
              <w:jc w:val="right"/>
              <w:textAlignment w:val="auto"/>
              <w:rPr>
                <w:rFonts w:ascii="Verdana" w:hAnsi="Verdana"/>
                <w:color w:val="0000FF"/>
                <w:sz w:val="17"/>
                <w:szCs w:val="17"/>
                <w:lang w:val="es-ES"/>
              </w:rPr>
            </w:pPr>
            <w:r>
              <w:rPr>
                <w:rFonts w:ascii="Verdana" w:hAnsi="Verdana"/>
                <w:color w:val="0000FF"/>
                <w:sz w:val="17"/>
                <w:szCs w:val="17"/>
                <w:lang w:val="es-ES"/>
              </w:rPr>
              <w:t>en adelante</w:t>
            </w:r>
          </w:p>
        </w:tc>
        <w:tc>
          <w:tcPr>
            <w:tcW w:w="0" w:type="auto"/>
            <w:tcBorders>
              <w:top w:val="outset" w:sz="6" w:space="0" w:color="auto"/>
              <w:left w:val="outset" w:sz="6" w:space="0" w:color="auto"/>
              <w:bottom w:val="outset" w:sz="6" w:space="0" w:color="auto"/>
              <w:right w:val="outset" w:sz="6" w:space="0" w:color="auto"/>
            </w:tcBorders>
            <w:vAlign w:val="bottom"/>
          </w:tcPr>
          <w:p w14:paraId="056DD823" w14:textId="77777777" w:rsidR="00EE1145" w:rsidRDefault="00EE1145">
            <w:pPr>
              <w:overflowPunct/>
              <w:autoSpaceDE/>
              <w:autoSpaceDN/>
              <w:adjustRightInd/>
              <w:jc w:val="center"/>
              <w:textAlignment w:val="auto"/>
              <w:rPr>
                <w:rFonts w:ascii="Verdana" w:hAnsi="Verdana"/>
                <w:color w:val="0000FF"/>
                <w:sz w:val="17"/>
                <w:szCs w:val="17"/>
                <w:lang w:val="es-ES"/>
              </w:rPr>
            </w:pPr>
            <w:r>
              <w:rPr>
                <w:rFonts w:ascii="Verdana" w:hAnsi="Verdana"/>
                <w:color w:val="0000FF"/>
                <w:sz w:val="17"/>
                <w:szCs w:val="17"/>
                <w:lang w:val="es-ES"/>
              </w:rPr>
              <w:t>3,00%</w:t>
            </w:r>
          </w:p>
        </w:tc>
      </w:tr>
    </w:tbl>
    <w:p w14:paraId="20E4ECD3" w14:textId="77777777" w:rsidR="00EE1145" w:rsidRDefault="00EE1145">
      <w:pPr>
        <w:spacing w:line="280" w:lineRule="atLeast"/>
        <w:ind w:left="1080"/>
        <w:jc w:val="both"/>
        <w:rPr>
          <w:color w:val="0000FF"/>
          <w:spacing w:val="6"/>
          <w:sz w:val="26"/>
          <w:szCs w:val="26"/>
        </w:rPr>
      </w:pPr>
    </w:p>
    <w:p w14:paraId="095E2270" w14:textId="77777777" w:rsidR="00EE1145" w:rsidRDefault="00EE1145">
      <w:pPr>
        <w:spacing w:line="280" w:lineRule="atLeast"/>
        <w:ind w:left="1080"/>
        <w:jc w:val="both"/>
        <w:rPr>
          <w:spacing w:val="6"/>
          <w:sz w:val="26"/>
          <w:szCs w:val="26"/>
        </w:rPr>
      </w:pPr>
    </w:p>
    <w:p w14:paraId="7B5BD69C" w14:textId="77777777" w:rsidR="00EE1145" w:rsidRDefault="00EE1145">
      <w:pPr>
        <w:spacing w:line="280" w:lineRule="atLeast"/>
        <w:ind w:left="720"/>
        <w:jc w:val="both"/>
        <w:rPr>
          <w:color w:val="000000"/>
          <w:spacing w:val="6"/>
          <w:sz w:val="26"/>
          <w:szCs w:val="26"/>
          <w:u w:val="single"/>
        </w:rPr>
      </w:pPr>
    </w:p>
    <w:p w14:paraId="0D451A28" w14:textId="77777777" w:rsidR="00EE1145" w:rsidRDefault="00EE1145">
      <w:pPr>
        <w:spacing w:line="280" w:lineRule="atLeast"/>
        <w:ind w:left="720"/>
        <w:jc w:val="both"/>
        <w:rPr>
          <w:color w:val="000000"/>
          <w:spacing w:val="6"/>
          <w:sz w:val="26"/>
          <w:szCs w:val="26"/>
          <w:u w:val="single"/>
        </w:rPr>
      </w:pPr>
    </w:p>
    <w:p w14:paraId="2F093132" w14:textId="77777777" w:rsidR="00EE1145" w:rsidRDefault="00EE1145">
      <w:pPr>
        <w:spacing w:line="280" w:lineRule="atLeast"/>
        <w:ind w:left="720"/>
        <w:jc w:val="both"/>
        <w:rPr>
          <w:color w:val="000000"/>
          <w:spacing w:val="6"/>
          <w:sz w:val="26"/>
          <w:szCs w:val="26"/>
          <w:u w:val="single"/>
        </w:rPr>
      </w:pPr>
    </w:p>
    <w:p w14:paraId="0EB11BA4" w14:textId="77777777" w:rsidR="00EE1145" w:rsidRDefault="00EE1145">
      <w:pPr>
        <w:spacing w:line="280" w:lineRule="atLeast"/>
        <w:ind w:left="720"/>
        <w:jc w:val="both"/>
        <w:rPr>
          <w:color w:val="000000"/>
          <w:spacing w:val="6"/>
          <w:sz w:val="26"/>
          <w:szCs w:val="26"/>
          <w:u w:val="single"/>
        </w:rPr>
      </w:pPr>
    </w:p>
    <w:p w14:paraId="3B7E1934" w14:textId="77777777" w:rsidR="00EE1145" w:rsidRDefault="00EE1145">
      <w:pPr>
        <w:spacing w:line="280" w:lineRule="atLeast"/>
        <w:ind w:left="720"/>
        <w:jc w:val="both"/>
        <w:rPr>
          <w:color w:val="000000"/>
          <w:spacing w:val="6"/>
          <w:sz w:val="26"/>
          <w:szCs w:val="26"/>
          <w:u w:val="single"/>
        </w:rPr>
      </w:pPr>
    </w:p>
    <w:p w14:paraId="6F99A353" w14:textId="77777777" w:rsidR="00EE1145" w:rsidRDefault="00EE1145">
      <w:pPr>
        <w:spacing w:line="280" w:lineRule="atLeast"/>
        <w:ind w:left="720"/>
        <w:jc w:val="both"/>
        <w:rPr>
          <w:color w:val="000000"/>
          <w:spacing w:val="6"/>
          <w:sz w:val="26"/>
          <w:szCs w:val="26"/>
          <w:u w:val="single"/>
        </w:rPr>
      </w:pPr>
    </w:p>
    <w:p w14:paraId="741B9345" w14:textId="77777777" w:rsidR="00EE1145" w:rsidRDefault="00EE1145">
      <w:pPr>
        <w:spacing w:line="280" w:lineRule="atLeast"/>
        <w:jc w:val="both"/>
        <w:rPr>
          <w:color w:val="000000"/>
          <w:spacing w:val="6"/>
          <w:sz w:val="26"/>
          <w:szCs w:val="26"/>
          <w:u w:val="single"/>
        </w:rPr>
      </w:pPr>
    </w:p>
    <w:p w14:paraId="60EDC277" w14:textId="77777777" w:rsidR="00EE1145" w:rsidRDefault="00EE1145">
      <w:pPr>
        <w:spacing w:line="280" w:lineRule="atLeast"/>
        <w:ind w:left="720"/>
        <w:jc w:val="both"/>
        <w:rPr>
          <w:color w:val="000000"/>
          <w:spacing w:val="6"/>
          <w:sz w:val="26"/>
          <w:szCs w:val="26"/>
          <w:u w:val="single"/>
        </w:rPr>
      </w:pPr>
    </w:p>
    <w:p w14:paraId="1C4A2793" w14:textId="77777777" w:rsidR="00892A7C" w:rsidRDefault="00892A7C" w:rsidP="00892A7C">
      <w:pPr>
        <w:spacing w:line="280" w:lineRule="atLeast"/>
        <w:ind w:left="360"/>
        <w:jc w:val="both"/>
        <w:rPr>
          <w:rFonts w:ascii="Times New Roman" w:hAnsi="Times New Roman"/>
          <w:color w:val="000000"/>
          <w:spacing w:val="6"/>
          <w:sz w:val="24"/>
          <w:szCs w:val="24"/>
        </w:rPr>
      </w:pPr>
      <w:bookmarkStart w:id="217" w:name="t62"/>
      <w:bookmarkEnd w:id="217"/>
    </w:p>
    <w:p w14:paraId="63DCEBCC" w14:textId="77777777" w:rsidR="00961400" w:rsidRPr="003541CB" w:rsidRDefault="003C7592" w:rsidP="00C854F8">
      <w:pPr>
        <w:numPr>
          <w:ilvl w:val="0"/>
          <w:numId w:val="21"/>
        </w:numPr>
        <w:spacing w:line="280" w:lineRule="atLeast"/>
        <w:jc w:val="both"/>
        <w:rPr>
          <w:rFonts w:ascii="Times New Roman" w:hAnsi="Times New Roman"/>
          <w:color w:val="000000"/>
          <w:spacing w:val="6"/>
          <w:sz w:val="24"/>
          <w:szCs w:val="24"/>
        </w:rPr>
      </w:pPr>
      <w:r w:rsidRPr="003541CB">
        <w:rPr>
          <w:rFonts w:ascii="Times New Roman" w:hAnsi="Times New Roman"/>
          <w:color w:val="000000"/>
          <w:spacing w:val="6"/>
          <w:sz w:val="24"/>
          <w:szCs w:val="24"/>
        </w:rPr>
        <w:t>La</w:t>
      </w:r>
      <w:r w:rsidR="00961400" w:rsidRPr="003541CB">
        <w:rPr>
          <w:spacing w:val="6"/>
          <w:sz w:val="24"/>
          <w:szCs w:val="24"/>
          <w:lang w:val="es-ES"/>
        </w:rPr>
        <w:t xml:space="preserve"> </w:t>
      </w:r>
      <w:hyperlink r:id="rId331" w:history="1">
        <w:r w:rsidR="00961400" w:rsidRPr="003541CB">
          <w:rPr>
            <w:rStyle w:val="Hipervnculo"/>
            <w:spacing w:val="6"/>
            <w:sz w:val="24"/>
            <w:szCs w:val="24"/>
            <w:lang w:val="es-ES"/>
          </w:rPr>
          <w:t xml:space="preserve">Ley </w:t>
        </w:r>
        <w:r w:rsidR="001A2F4C" w:rsidRPr="003541CB">
          <w:rPr>
            <w:rStyle w:val="Hipervnculo"/>
            <w:spacing w:val="6"/>
            <w:sz w:val="24"/>
            <w:szCs w:val="24"/>
            <w:lang w:val="es-ES"/>
          </w:rPr>
          <w:t xml:space="preserve">estatal </w:t>
        </w:r>
        <w:r w:rsidR="00961400" w:rsidRPr="003541CB">
          <w:rPr>
            <w:rStyle w:val="Hipervnculo"/>
            <w:spacing w:val="6"/>
            <w:sz w:val="24"/>
            <w:szCs w:val="24"/>
            <w:lang w:val="es-ES"/>
          </w:rPr>
          <w:t>11/2021</w:t>
        </w:r>
      </w:hyperlink>
      <w:r w:rsidR="00961400" w:rsidRPr="003541CB">
        <w:rPr>
          <w:spacing w:val="6"/>
          <w:sz w:val="24"/>
          <w:szCs w:val="24"/>
          <w:lang w:val="es-ES"/>
        </w:rPr>
        <w:t xml:space="preserve"> </w:t>
      </w:r>
      <w:r w:rsidR="001A2F4C" w:rsidRPr="003541CB">
        <w:rPr>
          <w:spacing w:val="6"/>
          <w:sz w:val="24"/>
          <w:szCs w:val="24"/>
          <w:lang w:val="es-ES"/>
        </w:rPr>
        <w:t xml:space="preserve">modifica el </w:t>
      </w:r>
      <w:hyperlink r:id="rId332" w:anchor="a10" w:history="1">
        <w:r w:rsidR="00961400" w:rsidRPr="003541CB">
          <w:rPr>
            <w:rStyle w:val="Hipervnculo"/>
            <w:spacing w:val="6"/>
            <w:sz w:val="24"/>
            <w:szCs w:val="24"/>
            <w:lang w:val="es-ES"/>
          </w:rPr>
          <w:t>art. 10-1</w:t>
        </w:r>
      </w:hyperlink>
      <w:r w:rsidR="003541CB" w:rsidRPr="003541CB">
        <w:rPr>
          <w:spacing w:val="6"/>
          <w:sz w:val="24"/>
          <w:szCs w:val="24"/>
          <w:lang w:val="es-ES"/>
        </w:rPr>
        <w:t>, introduciendo indirectamente para los inmuebles el valor de referencia, cuando fuere superior al de adquisición.</w:t>
      </w:r>
    </w:p>
    <w:p w14:paraId="2D4ED032" w14:textId="77777777" w:rsidR="00961400" w:rsidRDefault="003541CB" w:rsidP="00961400">
      <w:pPr>
        <w:spacing w:line="280" w:lineRule="atLeast"/>
        <w:ind w:left="360"/>
        <w:jc w:val="both"/>
        <w:rPr>
          <w:rFonts w:ascii="Times New Roman" w:hAnsi="Times New Roman"/>
          <w:color w:val="000000"/>
          <w:spacing w:val="6"/>
          <w:sz w:val="26"/>
          <w:szCs w:val="26"/>
        </w:rPr>
      </w:pPr>
      <w:r>
        <w:rPr>
          <w:rFonts w:ascii="Times New Roman" w:hAnsi="Times New Roman"/>
          <w:color w:val="000000"/>
          <w:spacing w:val="6"/>
          <w:sz w:val="26"/>
          <w:szCs w:val="26"/>
        </w:rPr>
        <w:br w:type="page"/>
      </w:r>
    </w:p>
    <w:p w14:paraId="4395D4E5" w14:textId="77777777" w:rsidR="008E252C" w:rsidRPr="002D59C8" w:rsidRDefault="008E252C" w:rsidP="00C854F8">
      <w:pPr>
        <w:numPr>
          <w:ilvl w:val="0"/>
          <w:numId w:val="15"/>
        </w:numPr>
        <w:tabs>
          <w:tab w:val="clear" w:pos="360"/>
          <w:tab w:val="num" w:pos="0"/>
        </w:tabs>
        <w:spacing w:after="120" w:line="280" w:lineRule="atLeast"/>
        <w:ind w:left="0" w:hanging="357"/>
        <w:jc w:val="both"/>
        <w:rPr>
          <w:b/>
          <w:spacing w:val="6"/>
          <w:sz w:val="22"/>
          <w:szCs w:val="22"/>
        </w:rPr>
      </w:pPr>
      <w:bookmarkStart w:id="218" w:name="plusvalia"/>
      <w:bookmarkEnd w:id="218"/>
      <w:r>
        <w:rPr>
          <w:b/>
          <w:spacing w:val="6"/>
          <w:sz w:val="26"/>
          <w:szCs w:val="26"/>
        </w:rPr>
        <w:lastRenderedPageBreak/>
        <w:t>“PLUSVALÍA MUNICIPAL”</w:t>
      </w:r>
    </w:p>
    <w:p w14:paraId="66154103" w14:textId="77777777" w:rsidR="002D59C8" w:rsidRDefault="002D59C8" w:rsidP="002D59C8">
      <w:pPr>
        <w:spacing w:line="280" w:lineRule="atLeast"/>
        <w:jc w:val="both"/>
        <w:rPr>
          <w:spacing w:val="6"/>
          <w:sz w:val="26"/>
          <w:szCs w:val="26"/>
        </w:rPr>
      </w:pPr>
      <w:r w:rsidRPr="002D59C8">
        <w:rPr>
          <w:spacing w:val="6"/>
          <w:sz w:val="26"/>
          <w:szCs w:val="26"/>
        </w:rPr>
        <w:t>Es difícil conseguir un listado fiable de los Concejos que tengan aprobado el Impuesto sobre Incremento de Valor de lo</w:t>
      </w:r>
      <w:r w:rsidR="00FF4CB7">
        <w:rPr>
          <w:spacing w:val="6"/>
          <w:sz w:val="26"/>
          <w:szCs w:val="26"/>
        </w:rPr>
        <w:t xml:space="preserve">s Terrenos de Naturaleza Urbana. Lo que sigue es el resultado de una encuesta telefónica </w:t>
      </w:r>
      <w:r w:rsidR="00D10EC8">
        <w:rPr>
          <w:spacing w:val="6"/>
          <w:sz w:val="26"/>
          <w:szCs w:val="26"/>
        </w:rPr>
        <w:t>practicada a prin</w:t>
      </w:r>
      <w:r w:rsidR="00B67D69">
        <w:rPr>
          <w:spacing w:val="6"/>
          <w:sz w:val="26"/>
          <w:szCs w:val="26"/>
        </w:rPr>
        <w:t>cipios de 2018, con las actualiza</w:t>
      </w:r>
      <w:r w:rsidR="00D10EC8">
        <w:rPr>
          <w:spacing w:val="6"/>
          <w:sz w:val="26"/>
          <w:szCs w:val="26"/>
        </w:rPr>
        <w:t>ciones de las que nos hemos percatado.</w:t>
      </w:r>
      <w:r w:rsidRPr="002D59C8">
        <w:rPr>
          <w:spacing w:val="6"/>
          <w:sz w:val="26"/>
          <w:szCs w:val="26"/>
        </w:rPr>
        <w:br/>
        <w:t>Dentro de los que lo tienen</w:t>
      </w:r>
      <w:r>
        <w:rPr>
          <w:spacing w:val="6"/>
          <w:sz w:val="26"/>
          <w:szCs w:val="26"/>
        </w:rPr>
        <w:t xml:space="preserve"> apr</w:t>
      </w:r>
      <w:r w:rsidR="0067673B">
        <w:rPr>
          <w:spacing w:val="6"/>
          <w:sz w:val="26"/>
          <w:szCs w:val="26"/>
        </w:rPr>
        <w:t>obado, hay muchos que han delegado su gestión en</w:t>
      </w:r>
      <w:r w:rsidRPr="002D59C8">
        <w:rPr>
          <w:spacing w:val="6"/>
          <w:sz w:val="26"/>
          <w:szCs w:val="26"/>
        </w:rPr>
        <w:t xml:space="preserve"> los Servicios Tributarios del Principado de Asturias. Puestos en contacto con los mismos, nos dicen que para saber cuáles son hay que ir al desplegable del simulador:</w:t>
      </w:r>
    </w:p>
    <w:p w14:paraId="586BF88A" w14:textId="77777777" w:rsidR="00AB1F3A" w:rsidRDefault="00AB1F3A" w:rsidP="002D59C8">
      <w:pPr>
        <w:spacing w:line="280" w:lineRule="atLeast"/>
        <w:jc w:val="both"/>
        <w:rPr>
          <w:spacing w:val="6"/>
          <w:sz w:val="26"/>
          <w:szCs w:val="26"/>
        </w:rPr>
      </w:pPr>
      <w:hyperlink r:id="rId333" w:history="1">
        <w:r w:rsidRPr="00F95AE6">
          <w:rPr>
            <w:rStyle w:val="Hipervnculo"/>
            <w:spacing w:val="6"/>
            <w:sz w:val="26"/>
            <w:szCs w:val="26"/>
          </w:rPr>
          <w:t>https://sede.tributasenasturias.es/sede/Servicios/Simulador+Plusvalias+IIVTNU?pt_accion=S&amp;pt_modelo=500</w:t>
        </w:r>
      </w:hyperlink>
    </w:p>
    <w:p w14:paraId="412AA7EA" w14:textId="77777777" w:rsidR="001A40C2" w:rsidRDefault="001A40C2" w:rsidP="002D59C8">
      <w:pPr>
        <w:spacing w:line="280" w:lineRule="atLeast"/>
        <w:jc w:val="both"/>
        <w:rPr>
          <w:spacing w:val="6"/>
          <w:sz w:val="26"/>
          <w:szCs w:val="26"/>
        </w:rPr>
      </w:pPr>
      <w:r>
        <w:rPr>
          <w:spacing w:val="6"/>
          <w:sz w:val="26"/>
          <w:szCs w:val="26"/>
        </w:rPr>
        <w:t>También hay un enlace a un cuadro con los distintos impuestos delegados (aunque no siempre es exacto, por ejemplo Quirós).</w:t>
      </w:r>
    </w:p>
    <w:p w14:paraId="1C78976C" w14:textId="77777777" w:rsidR="001A40C2" w:rsidRDefault="001A40C2" w:rsidP="002D59C8">
      <w:pPr>
        <w:spacing w:line="280" w:lineRule="atLeast"/>
        <w:jc w:val="both"/>
        <w:rPr>
          <w:spacing w:val="6"/>
          <w:sz w:val="26"/>
          <w:szCs w:val="26"/>
        </w:rPr>
      </w:pPr>
      <w:hyperlink r:id="rId334" w:history="1">
        <w:r w:rsidRPr="0075505D">
          <w:rPr>
            <w:rStyle w:val="Hipervnculo"/>
            <w:spacing w:val="6"/>
            <w:sz w:val="26"/>
            <w:szCs w:val="26"/>
          </w:rPr>
          <w:t>https://www.tributasenasturias.es/sites/stpa/default/es_ES/Ayuntamientos/Convenios-de-Delegacion</w:t>
        </w:r>
      </w:hyperlink>
    </w:p>
    <w:p w14:paraId="5955D4C9" w14:textId="77777777" w:rsidR="00D66495" w:rsidRDefault="00D66495" w:rsidP="00D66495">
      <w:pPr>
        <w:spacing w:after="60" w:line="280" w:lineRule="atLeast"/>
        <w:jc w:val="both"/>
        <w:rPr>
          <w:spacing w:val="6"/>
          <w:sz w:val="26"/>
          <w:szCs w:val="26"/>
          <w:lang w:val="es-ES"/>
        </w:rPr>
      </w:pPr>
      <w:r>
        <w:rPr>
          <w:spacing w:val="6"/>
          <w:sz w:val="26"/>
          <w:szCs w:val="26"/>
          <w:lang w:val="es-ES"/>
        </w:rPr>
        <w:t>Desde marzo de 2023, en el aplicativo notarial SIGNO, hay un servicio para la liquidación de las plusvalías. Parece que las cedidas a los Servicios Tributarios del Principado. Funciona bastante mal, pues hechas unas pruebas en junio de 2023, o no carga la información o al intentar calcular la cuota da error.</w:t>
      </w:r>
    </w:p>
    <w:p w14:paraId="4CD118F5" w14:textId="77777777" w:rsidR="00D66495" w:rsidRPr="005B1ED7" w:rsidRDefault="00D66495" w:rsidP="00C854F8">
      <w:pPr>
        <w:numPr>
          <w:ilvl w:val="1"/>
          <w:numId w:val="15"/>
        </w:numPr>
        <w:tabs>
          <w:tab w:val="clear" w:pos="792"/>
          <w:tab w:val="num" w:pos="426"/>
        </w:tabs>
        <w:spacing w:line="280" w:lineRule="atLeast"/>
        <w:ind w:hanging="792"/>
        <w:jc w:val="both"/>
        <w:rPr>
          <w:b/>
          <w:spacing w:val="6"/>
          <w:sz w:val="26"/>
          <w:szCs w:val="26"/>
        </w:rPr>
      </w:pPr>
      <w:bookmarkStart w:id="219" w:name="delegada"/>
      <w:bookmarkStart w:id="220" w:name="_Hlk208396472"/>
      <w:bookmarkEnd w:id="219"/>
      <w:r>
        <w:rPr>
          <w:rFonts w:ascii="Times New Roman" w:hAnsi="Times New Roman"/>
          <w:b/>
          <w:spacing w:val="6"/>
          <w:sz w:val="26"/>
          <w:szCs w:val="26"/>
        </w:rPr>
        <w:t>Concejos con plusvalía delegada</w:t>
      </w:r>
    </w:p>
    <w:bookmarkEnd w:id="220"/>
    <w:p w14:paraId="0CB7451A" w14:textId="77777777" w:rsidR="008C559F" w:rsidRDefault="008C559F" w:rsidP="008C559F">
      <w:pPr>
        <w:spacing w:line="280" w:lineRule="atLeast"/>
        <w:ind w:left="425"/>
        <w:jc w:val="both"/>
        <w:rPr>
          <w:b/>
          <w:spacing w:val="6"/>
          <w:sz w:val="26"/>
          <w:szCs w:val="26"/>
        </w:rPr>
      </w:pPr>
      <w:r w:rsidRPr="008C559F">
        <w:rPr>
          <w:spacing w:val="6"/>
          <w:sz w:val="26"/>
          <w:szCs w:val="26"/>
        </w:rPr>
        <w:t>Los</w:t>
      </w:r>
      <w:r w:rsidR="004B1552" w:rsidRPr="008C559F">
        <w:rPr>
          <w:spacing w:val="6"/>
          <w:sz w:val="26"/>
          <w:szCs w:val="26"/>
        </w:rPr>
        <w:t xml:space="preserve"> Concejos que han delegado</w:t>
      </w:r>
      <w:r w:rsidR="002D59C8" w:rsidRPr="008C559F">
        <w:rPr>
          <w:spacing w:val="6"/>
          <w:sz w:val="26"/>
          <w:szCs w:val="26"/>
        </w:rPr>
        <w:t xml:space="preserve"> tal gestión  s</w:t>
      </w:r>
      <w:r w:rsidRPr="008C559F">
        <w:rPr>
          <w:spacing w:val="6"/>
          <w:sz w:val="26"/>
          <w:szCs w:val="26"/>
        </w:rPr>
        <w:t>eguían</w:t>
      </w:r>
      <w:r w:rsidR="002D59C8" w:rsidRPr="008C559F">
        <w:rPr>
          <w:spacing w:val="6"/>
          <w:sz w:val="26"/>
          <w:szCs w:val="26"/>
        </w:rPr>
        <w:t xml:space="preserve"> el sistema de declaración</w:t>
      </w:r>
      <w:r w:rsidRPr="008C559F">
        <w:rPr>
          <w:spacing w:val="6"/>
          <w:sz w:val="26"/>
          <w:szCs w:val="26"/>
        </w:rPr>
        <w:t>, pero a partir del 1 de enero de 2021</w:t>
      </w:r>
      <w:r>
        <w:rPr>
          <w:spacing w:val="6"/>
          <w:sz w:val="26"/>
          <w:szCs w:val="26"/>
        </w:rPr>
        <w:t xml:space="preserve"> la </w:t>
      </w:r>
      <w:hyperlink r:id="rId335" w:history="1">
        <w:r w:rsidRPr="00A912DE">
          <w:rPr>
            <w:rStyle w:val="Hipervnculo"/>
            <w:spacing w:val="6"/>
            <w:sz w:val="26"/>
            <w:szCs w:val="26"/>
          </w:rPr>
          <w:t>Resolución de la Consejería de Hacienda de 18 de diciembre de 2020</w:t>
        </w:r>
      </w:hyperlink>
      <w:r>
        <w:rPr>
          <w:spacing w:val="6"/>
          <w:sz w:val="26"/>
          <w:szCs w:val="26"/>
        </w:rPr>
        <w:t xml:space="preserve"> (BOPA 30/12/2020) establece con carácter obligatorio el </w:t>
      </w:r>
      <w:r w:rsidRPr="00EB6028">
        <w:rPr>
          <w:b/>
          <w:spacing w:val="6"/>
          <w:sz w:val="26"/>
          <w:szCs w:val="26"/>
        </w:rPr>
        <w:t>sistema de autoliquidación para todos los concejos que tengan delegada la gestión del IIVTNU en los Servicios Tributarios del Principado de Asturias</w:t>
      </w:r>
      <w:r w:rsidRPr="008C559F">
        <w:rPr>
          <w:spacing w:val="6"/>
          <w:sz w:val="26"/>
          <w:szCs w:val="26"/>
        </w:rPr>
        <w:t>.</w:t>
      </w:r>
    </w:p>
    <w:p w14:paraId="6DE29E9B" w14:textId="77777777" w:rsidR="002D59C8" w:rsidRDefault="008C559F" w:rsidP="008C559F">
      <w:pPr>
        <w:spacing w:line="280" w:lineRule="atLeast"/>
        <w:ind w:left="425"/>
        <w:jc w:val="both"/>
        <w:rPr>
          <w:spacing w:val="6"/>
          <w:sz w:val="26"/>
          <w:szCs w:val="26"/>
        </w:rPr>
      </w:pPr>
      <w:r>
        <w:rPr>
          <w:spacing w:val="6"/>
          <w:sz w:val="26"/>
          <w:szCs w:val="26"/>
        </w:rPr>
        <w:t>Son los siguientes</w:t>
      </w:r>
      <w:r w:rsidR="002D59C8">
        <w:rPr>
          <w:spacing w:val="6"/>
          <w:sz w:val="26"/>
          <w:szCs w:val="26"/>
        </w:rPr>
        <w:t xml:space="preserve">: Allande, Aller, Avilés, Belmonte de Miranda, Bimenes, Cabrales, Cabranes, Candamo, </w:t>
      </w:r>
      <w:r w:rsidR="00324DB8">
        <w:rPr>
          <w:spacing w:val="6"/>
          <w:sz w:val="26"/>
          <w:szCs w:val="26"/>
        </w:rPr>
        <w:t xml:space="preserve">Cangas de Onís, Cangas del Narcea, Caravia, Carreño, Caso, Castropol, Colunga, Cudillero, El Franco, </w:t>
      </w:r>
      <w:r w:rsidR="008B0ED7">
        <w:rPr>
          <w:spacing w:val="6"/>
          <w:sz w:val="26"/>
          <w:szCs w:val="26"/>
        </w:rPr>
        <w:t xml:space="preserve">Gozón, </w:t>
      </w:r>
      <w:r w:rsidR="00324DB8">
        <w:rPr>
          <w:spacing w:val="6"/>
          <w:sz w:val="26"/>
          <w:szCs w:val="26"/>
        </w:rPr>
        <w:t xml:space="preserve">Grado, Ibias, </w:t>
      </w:r>
      <w:r w:rsidR="00BF25A1">
        <w:rPr>
          <w:spacing w:val="6"/>
          <w:sz w:val="26"/>
          <w:szCs w:val="26"/>
        </w:rPr>
        <w:t xml:space="preserve">Illas, </w:t>
      </w:r>
      <w:r w:rsidR="00324DB8">
        <w:rPr>
          <w:spacing w:val="6"/>
          <w:sz w:val="26"/>
          <w:szCs w:val="26"/>
        </w:rPr>
        <w:t xml:space="preserve">Langreo, Laviana, Lena, Llanera, </w:t>
      </w:r>
      <w:r w:rsidR="00AB1F3A">
        <w:rPr>
          <w:spacing w:val="6"/>
          <w:sz w:val="26"/>
          <w:szCs w:val="26"/>
        </w:rPr>
        <w:t xml:space="preserve">Llanes, </w:t>
      </w:r>
      <w:r w:rsidR="00324DB8">
        <w:rPr>
          <w:spacing w:val="6"/>
          <w:sz w:val="26"/>
          <w:szCs w:val="26"/>
        </w:rPr>
        <w:t xml:space="preserve">Morcín, Muros de Nalón, </w:t>
      </w:r>
      <w:r w:rsidR="000916AF">
        <w:rPr>
          <w:spacing w:val="6"/>
          <w:sz w:val="26"/>
          <w:szCs w:val="26"/>
        </w:rPr>
        <w:t xml:space="preserve">Nava, </w:t>
      </w:r>
      <w:r w:rsidR="00324DB8">
        <w:rPr>
          <w:spacing w:val="6"/>
          <w:sz w:val="26"/>
          <w:szCs w:val="26"/>
        </w:rPr>
        <w:t xml:space="preserve">Navia, Onís, Parres, Peñamellera Alta, Peñamellera Baja, Piloña, </w:t>
      </w:r>
      <w:r w:rsidR="00155DB5">
        <w:rPr>
          <w:spacing w:val="6"/>
          <w:sz w:val="26"/>
          <w:szCs w:val="26"/>
        </w:rPr>
        <w:t xml:space="preserve">Pravia, </w:t>
      </w:r>
      <w:r w:rsidR="00324943">
        <w:rPr>
          <w:spacing w:val="6"/>
          <w:sz w:val="26"/>
          <w:szCs w:val="26"/>
        </w:rPr>
        <w:t xml:space="preserve">Quirós, </w:t>
      </w:r>
      <w:r w:rsidR="00324DB8">
        <w:rPr>
          <w:spacing w:val="6"/>
          <w:sz w:val="26"/>
          <w:szCs w:val="26"/>
        </w:rPr>
        <w:t xml:space="preserve">Las Regueras, Ribadedeva, Ribadesella, Salas, </w:t>
      </w:r>
      <w:r w:rsidR="00830C22">
        <w:rPr>
          <w:spacing w:val="6"/>
          <w:sz w:val="26"/>
          <w:szCs w:val="26"/>
        </w:rPr>
        <w:t xml:space="preserve">San Martín del Rey Aurelio, San Tirso de Abres, </w:t>
      </w:r>
      <w:r w:rsidR="00586F48">
        <w:rPr>
          <w:spacing w:val="6"/>
          <w:sz w:val="26"/>
          <w:szCs w:val="26"/>
        </w:rPr>
        <w:t xml:space="preserve">Siero, </w:t>
      </w:r>
      <w:r w:rsidR="00830C22">
        <w:rPr>
          <w:spacing w:val="6"/>
          <w:sz w:val="26"/>
          <w:szCs w:val="26"/>
        </w:rPr>
        <w:t>Sobrescobio, Somiedo, Soto del Barco, Tapia de Casariego, Taramund</w:t>
      </w:r>
      <w:r w:rsidR="004B315A">
        <w:rPr>
          <w:spacing w:val="6"/>
          <w:sz w:val="26"/>
          <w:szCs w:val="26"/>
        </w:rPr>
        <w:t>i, Teverga, Tineo, Valdés, Vega</w:t>
      </w:r>
      <w:r w:rsidR="00830C22">
        <w:rPr>
          <w:spacing w:val="6"/>
          <w:sz w:val="26"/>
          <w:szCs w:val="26"/>
        </w:rPr>
        <w:t xml:space="preserve">deo, Villaviciosa, </w:t>
      </w:r>
      <w:r w:rsidR="00AB478F">
        <w:rPr>
          <w:spacing w:val="6"/>
          <w:sz w:val="26"/>
          <w:szCs w:val="26"/>
        </w:rPr>
        <w:t xml:space="preserve">y </w:t>
      </w:r>
      <w:r w:rsidR="00830C22">
        <w:rPr>
          <w:spacing w:val="6"/>
          <w:sz w:val="26"/>
          <w:szCs w:val="26"/>
        </w:rPr>
        <w:t>Yernes y Tameza.</w:t>
      </w:r>
    </w:p>
    <w:p w14:paraId="29EB87F0" w14:textId="77777777" w:rsidR="008C559F" w:rsidRDefault="008C559F" w:rsidP="008C559F">
      <w:pPr>
        <w:spacing w:line="280" w:lineRule="atLeast"/>
        <w:ind w:left="425"/>
        <w:jc w:val="both"/>
        <w:rPr>
          <w:spacing w:val="6"/>
          <w:sz w:val="26"/>
          <w:szCs w:val="26"/>
        </w:rPr>
      </w:pPr>
      <w:r>
        <w:rPr>
          <w:spacing w:val="6"/>
          <w:sz w:val="26"/>
          <w:szCs w:val="26"/>
        </w:rPr>
        <w:t>Más específicamente:</w:t>
      </w:r>
    </w:p>
    <w:p w14:paraId="4BCABDC1" w14:textId="77777777" w:rsidR="00D86782" w:rsidRDefault="008C559F" w:rsidP="008C559F">
      <w:pPr>
        <w:spacing w:line="280" w:lineRule="atLeast"/>
        <w:ind w:left="425"/>
        <w:jc w:val="both"/>
        <w:rPr>
          <w:spacing w:val="6"/>
          <w:sz w:val="26"/>
          <w:szCs w:val="26"/>
          <w:lang w:val="es-ES"/>
        </w:rPr>
      </w:pPr>
      <w:bookmarkStart w:id="221" w:name="_Hlk170734358"/>
      <w:r>
        <w:rPr>
          <w:b/>
          <w:spacing w:val="6"/>
          <w:sz w:val="26"/>
          <w:szCs w:val="26"/>
          <w:lang w:val="es-ES"/>
        </w:rPr>
        <w:t xml:space="preserve">- </w:t>
      </w:r>
      <w:r w:rsidR="00D86782" w:rsidRPr="00FD0E61">
        <w:rPr>
          <w:b/>
          <w:spacing w:val="6"/>
          <w:sz w:val="26"/>
          <w:szCs w:val="26"/>
          <w:lang w:val="es-ES"/>
        </w:rPr>
        <w:t>Siero</w:t>
      </w:r>
      <w:r w:rsidR="00D86782">
        <w:rPr>
          <w:spacing w:val="6"/>
          <w:sz w:val="26"/>
          <w:szCs w:val="26"/>
          <w:lang w:val="es-ES"/>
        </w:rPr>
        <w:t xml:space="preserve"> la delegó por </w:t>
      </w:r>
      <w:hyperlink r:id="rId336" w:history="1">
        <w:r w:rsidR="00D86782" w:rsidRPr="00586F48">
          <w:rPr>
            <w:rStyle w:val="Hipervnculo"/>
            <w:spacing w:val="6"/>
            <w:sz w:val="26"/>
            <w:szCs w:val="26"/>
            <w:lang w:val="es-ES"/>
          </w:rPr>
          <w:t>Convenio de 1 de abril de 2019</w:t>
        </w:r>
      </w:hyperlink>
      <w:r w:rsidR="00D86782">
        <w:rPr>
          <w:spacing w:val="6"/>
          <w:sz w:val="26"/>
          <w:szCs w:val="26"/>
          <w:lang w:val="es-ES"/>
        </w:rPr>
        <w:t xml:space="preserve"> (BOPA 16/05/2019, </w:t>
      </w:r>
      <w:hyperlink r:id="rId337" w:history="1">
        <w:r w:rsidR="00D86782" w:rsidRPr="00056B77">
          <w:rPr>
            <w:rStyle w:val="Hipervnculo"/>
            <w:spacing w:val="6"/>
            <w:sz w:val="26"/>
            <w:szCs w:val="26"/>
            <w:lang w:val="es-ES"/>
          </w:rPr>
          <w:t>rectificado BOPA 21/05/2019</w:t>
        </w:r>
      </w:hyperlink>
      <w:r w:rsidR="00D86782">
        <w:rPr>
          <w:spacing w:val="6"/>
          <w:sz w:val="26"/>
          <w:szCs w:val="26"/>
          <w:lang w:val="es-ES"/>
        </w:rPr>
        <w:t xml:space="preserve">); sustituido por el </w:t>
      </w:r>
      <w:hyperlink r:id="rId338" w:history="1">
        <w:r w:rsidR="00D86782" w:rsidRPr="00DC4EAF">
          <w:rPr>
            <w:rStyle w:val="Hipervnculo"/>
            <w:spacing w:val="6"/>
            <w:sz w:val="26"/>
            <w:szCs w:val="26"/>
            <w:lang w:val="es-ES"/>
          </w:rPr>
          <w:t>Convenio de 22 de julio de 2021</w:t>
        </w:r>
      </w:hyperlink>
      <w:r w:rsidR="00D86782">
        <w:rPr>
          <w:spacing w:val="6"/>
          <w:sz w:val="26"/>
          <w:szCs w:val="26"/>
          <w:lang w:val="es-ES"/>
        </w:rPr>
        <w:t xml:space="preserve"> (BOPA 22/09/2021).</w:t>
      </w:r>
      <w:r w:rsidR="00D86782">
        <w:rPr>
          <w:spacing w:val="6"/>
          <w:sz w:val="26"/>
          <w:szCs w:val="26"/>
          <w:lang w:val="es-ES"/>
        </w:rPr>
        <w:br/>
      </w:r>
      <w:r>
        <w:rPr>
          <w:b/>
          <w:spacing w:val="6"/>
          <w:sz w:val="26"/>
          <w:szCs w:val="26"/>
          <w:lang w:val="es-ES"/>
        </w:rPr>
        <w:t xml:space="preserve">- </w:t>
      </w:r>
      <w:r w:rsidR="00D86782" w:rsidRPr="00FD0E61">
        <w:rPr>
          <w:b/>
          <w:spacing w:val="6"/>
          <w:sz w:val="26"/>
          <w:szCs w:val="26"/>
          <w:lang w:val="es-ES"/>
        </w:rPr>
        <w:t xml:space="preserve">Llanes </w:t>
      </w:r>
      <w:r w:rsidR="00D86782">
        <w:rPr>
          <w:spacing w:val="6"/>
          <w:sz w:val="26"/>
          <w:szCs w:val="26"/>
          <w:lang w:val="es-ES"/>
        </w:rPr>
        <w:t xml:space="preserve">la delegó por </w:t>
      </w:r>
      <w:hyperlink r:id="rId339" w:history="1">
        <w:r w:rsidR="00D86782" w:rsidRPr="00C632D6">
          <w:rPr>
            <w:rStyle w:val="Hipervnculo"/>
            <w:spacing w:val="6"/>
            <w:sz w:val="26"/>
            <w:szCs w:val="26"/>
            <w:lang w:val="es-ES"/>
          </w:rPr>
          <w:t>Convenio de 21 de enero de 2020</w:t>
        </w:r>
      </w:hyperlink>
      <w:r w:rsidR="00D86782">
        <w:rPr>
          <w:spacing w:val="6"/>
          <w:sz w:val="26"/>
          <w:szCs w:val="26"/>
          <w:lang w:val="es-ES"/>
        </w:rPr>
        <w:t xml:space="preserve"> (BOPA 26/02/2020).</w:t>
      </w:r>
    </w:p>
    <w:p w14:paraId="3BDE7E77" w14:textId="77777777" w:rsidR="00D86782" w:rsidRDefault="008C559F" w:rsidP="008C559F">
      <w:pPr>
        <w:spacing w:line="280" w:lineRule="atLeast"/>
        <w:ind w:left="425"/>
        <w:jc w:val="both"/>
        <w:rPr>
          <w:spacing w:val="6"/>
          <w:sz w:val="26"/>
          <w:szCs w:val="26"/>
          <w:lang w:val="es-ES"/>
        </w:rPr>
      </w:pPr>
      <w:r>
        <w:rPr>
          <w:spacing w:val="6"/>
          <w:sz w:val="26"/>
          <w:szCs w:val="26"/>
          <w:lang w:val="es-ES"/>
        </w:rPr>
        <w:t xml:space="preserve">- </w:t>
      </w:r>
      <w:r w:rsidR="00D86782" w:rsidRPr="00FD0E61">
        <w:rPr>
          <w:spacing w:val="6"/>
          <w:sz w:val="26"/>
          <w:szCs w:val="26"/>
          <w:lang w:val="es-ES"/>
        </w:rPr>
        <w:t xml:space="preserve">Respecto de </w:t>
      </w:r>
      <w:r w:rsidR="00D86782" w:rsidRPr="00FD0E61">
        <w:rPr>
          <w:b/>
          <w:spacing w:val="6"/>
          <w:sz w:val="26"/>
          <w:szCs w:val="26"/>
          <w:lang w:val="es-ES"/>
        </w:rPr>
        <w:t>Gozón</w:t>
      </w:r>
      <w:r w:rsidR="00D86782" w:rsidRPr="00FD0E61">
        <w:rPr>
          <w:spacing w:val="6"/>
          <w:sz w:val="26"/>
          <w:szCs w:val="26"/>
          <w:lang w:val="es-ES"/>
        </w:rPr>
        <w:t xml:space="preserve"> (capital Luanco), aclarar que el </w:t>
      </w:r>
      <w:hyperlink r:id="rId340" w:history="1">
        <w:r w:rsidR="00D86782" w:rsidRPr="00FD0E61">
          <w:rPr>
            <w:rStyle w:val="Hipervnculo"/>
            <w:spacing w:val="6"/>
            <w:sz w:val="26"/>
            <w:szCs w:val="26"/>
            <w:lang w:val="es-ES"/>
          </w:rPr>
          <w:t>Convenio de 7 de febrero de 2017</w:t>
        </w:r>
      </w:hyperlink>
      <w:r w:rsidR="00D86782" w:rsidRPr="00FD0E61">
        <w:rPr>
          <w:spacing w:val="6"/>
          <w:sz w:val="26"/>
          <w:szCs w:val="26"/>
          <w:lang w:val="es-ES"/>
        </w:rPr>
        <w:t xml:space="preserve">, no incluye la “plusvalía municipal”. Se sigue el sistema de declaración. Antes se enviaba copia simple electrónica a </w:t>
      </w:r>
      <w:hyperlink r:id="rId341" w:history="1">
        <w:r w:rsidR="00D86782" w:rsidRPr="00FD0E61">
          <w:rPr>
            <w:rStyle w:val="Hipervnculo"/>
            <w:spacing w:val="6"/>
            <w:sz w:val="26"/>
            <w:szCs w:val="26"/>
            <w:lang w:val="es-ES"/>
          </w:rPr>
          <w:t>información@ayto-gozon.org</w:t>
        </w:r>
      </w:hyperlink>
      <w:r w:rsidR="00D86782" w:rsidRPr="00FD0E61">
        <w:rPr>
          <w:spacing w:val="6"/>
          <w:sz w:val="26"/>
          <w:szCs w:val="26"/>
          <w:lang w:val="es-ES"/>
        </w:rPr>
        <w:t xml:space="preserve"> acompañada de una </w:t>
      </w:r>
      <w:hyperlink r:id="rId342" w:history="1">
        <w:r w:rsidR="00D86782" w:rsidRPr="00FD0E61">
          <w:rPr>
            <w:rStyle w:val="Hipervnculo"/>
            <w:spacing w:val="6"/>
            <w:sz w:val="26"/>
            <w:szCs w:val="26"/>
            <w:lang w:val="es-ES"/>
          </w:rPr>
          <w:t>instancia general</w:t>
        </w:r>
      </w:hyperlink>
      <w:r w:rsidR="00D86782" w:rsidRPr="00FD0E61">
        <w:rPr>
          <w:spacing w:val="6"/>
          <w:sz w:val="26"/>
          <w:szCs w:val="26"/>
          <w:lang w:val="es-ES"/>
        </w:rPr>
        <w:t xml:space="preserve"> descargable de su web. Ahora se puede presentar y obtener el justificante </w:t>
      </w:r>
      <w:r w:rsidR="00D86782" w:rsidRPr="00FD0E61">
        <w:rPr>
          <w:spacing w:val="6"/>
          <w:sz w:val="26"/>
          <w:szCs w:val="26"/>
          <w:lang w:val="es-ES"/>
        </w:rPr>
        <w:lastRenderedPageBreak/>
        <w:t xml:space="preserve">en la sede electrónica en </w:t>
      </w:r>
      <w:hyperlink r:id="rId343" w:history="1">
        <w:r w:rsidR="00D86782" w:rsidRPr="00FD0E61">
          <w:rPr>
            <w:rStyle w:val="Hipervnculo"/>
            <w:spacing w:val="6"/>
            <w:sz w:val="26"/>
            <w:szCs w:val="26"/>
            <w:lang w:val="es-ES"/>
          </w:rPr>
          <w:t>sedelectronica.ayto-gozon.com/action/tramitacion?method=enter&amp;id=3008</w:t>
        </w:r>
      </w:hyperlink>
      <w:r w:rsidR="00D86782" w:rsidRPr="00FD0E61">
        <w:rPr>
          <w:spacing w:val="6"/>
          <w:sz w:val="26"/>
          <w:szCs w:val="26"/>
          <w:lang w:val="es-ES"/>
        </w:rPr>
        <w:t>, sin necesidad de firma electrónica.</w:t>
      </w:r>
      <w:r w:rsidR="00D86782">
        <w:rPr>
          <w:spacing w:val="6"/>
          <w:sz w:val="26"/>
          <w:szCs w:val="26"/>
          <w:lang w:val="es-ES"/>
        </w:rPr>
        <w:t xml:space="preserve"> Sin embargo, el </w:t>
      </w:r>
      <w:hyperlink r:id="rId344" w:history="1">
        <w:r w:rsidR="00D86782" w:rsidRPr="00283088">
          <w:rPr>
            <w:rStyle w:val="Hipervnculo"/>
            <w:spacing w:val="6"/>
            <w:sz w:val="26"/>
            <w:szCs w:val="26"/>
            <w:lang w:val="es-ES"/>
          </w:rPr>
          <w:t>Convenio de 25 de febrero de 2021</w:t>
        </w:r>
      </w:hyperlink>
      <w:r w:rsidR="00D86782">
        <w:rPr>
          <w:spacing w:val="6"/>
          <w:sz w:val="26"/>
          <w:szCs w:val="26"/>
          <w:lang w:val="es-ES"/>
        </w:rPr>
        <w:t xml:space="preserve"> (BOPA 13/04/2021) sí delega la </w:t>
      </w:r>
      <w:r w:rsidR="00D86782" w:rsidRPr="00FD0E61">
        <w:rPr>
          <w:spacing w:val="6"/>
          <w:sz w:val="26"/>
          <w:szCs w:val="26"/>
          <w:lang w:val="es-ES"/>
        </w:rPr>
        <w:t>“plusvalía municipal”</w:t>
      </w:r>
      <w:r w:rsidR="00D86782">
        <w:rPr>
          <w:spacing w:val="6"/>
          <w:sz w:val="26"/>
          <w:szCs w:val="26"/>
          <w:lang w:val="es-ES"/>
        </w:rPr>
        <w:t xml:space="preserve">. También el vigente </w:t>
      </w:r>
      <w:hyperlink r:id="rId345" w:history="1">
        <w:r w:rsidR="00D86782" w:rsidRPr="00B6659F">
          <w:rPr>
            <w:rStyle w:val="Hipervnculo"/>
            <w:spacing w:val="6"/>
            <w:sz w:val="26"/>
            <w:szCs w:val="26"/>
            <w:lang w:val="es-ES"/>
          </w:rPr>
          <w:t>Convenio de 19 de diciembre de 2024</w:t>
        </w:r>
      </w:hyperlink>
      <w:r w:rsidR="00D86782">
        <w:rPr>
          <w:spacing w:val="6"/>
          <w:sz w:val="26"/>
          <w:szCs w:val="26"/>
          <w:lang w:val="es-ES"/>
        </w:rPr>
        <w:t xml:space="preserve"> (BOPA 31/01/2025).</w:t>
      </w:r>
    </w:p>
    <w:p w14:paraId="61A65D8A" w14:textId="77777777" w:rsidR="00D86782" w:rsidRDefault="008C559F" w:rsidP="008C559F">
      <w:pPr>
        <w:spacing w:line="280" w:lineRule="atLeast"/>
        <w:ind w:left="425"/>
        <w:jc w:val="both"/>
        <w:rPr>
          <w:spacing w:val="6"/>
          <w:sz w:val="26"/>
          <w:szCs w:val="26"/>
          <w:lang w:val="es-ES"/>
        </w:rPr>
      </w:pPr>
      <w:r>
        <w:rPr>
          <w:b/>
          <w:spacing w:val="6"/>
          <w:sz w:val="26"/>
          <w:szCs w:val="26"/>
          <w:lang w:val="es-ES"/>
        </w:rPr>
        <w:t xml:space="preserve">- </w:t>
      </w:r>
      <w:r w:rsidR="00D86782">
        <w:rPr>
          <w:b/>
          <w:spacing w:val="6"/>
          <w:sz w:val="26"/>
          <w:szCs w:val="26"/>
          <w:lang w:val="es-ES"/>
        </w:rPr>
        <w:t>Illas</w:t>
      </w:r>
      <w:r w:rsidR="00D86782">
        <w:rPr>
          <w:spacing w:val="6"/>
          <w:sz w:val="26"/>
          <w:szCs w:val="26"/>
          <w:lang w:val="es-ES"/>
        </w:rPr>
        <w:t xml:space="preserve">, que no tenía plusvalía, la delegó por </w:t>
      </w:r>
      <w:hyperlink r:id="rId346" w:history="1">
        <w:r w:rsidR="00D86782" w:rsidRPr="00147F97">
          <w:rPr>
            <w:rStyle w:val="Hipervnculo"/>
            <w:spacing w:val="6"/>
            <w:sz w:val="26"/>
            <w:szCs w:val="26"/>
            <w:lang w:val="es-ES"/>
          </w:rPr>
          <w:t>Convenio de 13 de mayo de 2021</w:t>
        </w:r>
      </w:hyperlink>
      <w:r w:rsidR="00D86782">
        <w:rPr>
          <w:spacing w:val="6"/>
          <w:sz w:val="26"/>
          <w:szCs w:val="26"/>
          <w:lang w:val="es-ES"/>
        </w:rPr>
        <w:t>.</w:t>
      </w:r>
    </w:p>
    <w:p w14:paraId="465F6DD2" w14:textId="77777777" w:rsidR="00D86782" w:rsidRDefault="008C559F" w:rsidP="008C559F">
      <w:pPr>
        <w:spacing w:line="280" w:lineRule="atLeast"/>
        <w:ind w:left="425"/>
        <w:jc w:val="both"/>
        <w:rPr>
          <w:spacing w:val="6"/>
          <w:sz w:val="26"/>
          <w:szCs w:val="26"/>
          <w:lang w:val="es-ES"/>
        </w:rPr>
      </w:pPr>
      <w:r>
        <w:rPr>
          <w:b/>
          <w:spacing w:val="6"/>
          <w:sz w:val="26"/>
          <w:szCs w:val="26"/>
          <w:lang w:val="es-ES"/>
        </w:rPr>
        <w:t xml:space="preserve">- </w:t>
      </w:r>
      <w:r w:rsidR="00D86782">
        <w:rPr>
          <w:b/>
          <w:spacing w:val="6"/>
          <w:sz w:val="26"/>
          <w:szCs w:val="26"/>
          <w:lang w:val="es-ES"/>
        </w:rPr>
        <w:t>Pravia</w:t>
      </w:r>
      <w:r w:rsidR="00D86782">
        <w:rPr>
          <w:spacing w:val="6"/>
          <w:sz w:val="26"/>
          <w:szCs w:val="26"/>
          <w:lang w:val="es-ES"/>
        </w:rPr>
        <w:t xml:space="preserve">, que sí tenía plusvalía pero no la tenía delegada, la delegó por </w:t>
      </w:r>
      <w:hyperlink r:id="rId347" w:history="1">
        <w:r w:rsidR="00D86782" w:rsidRPr="00A106DD">
          <w:rPr>
            <w:rStyle w:val="Hipervnculo"/>
            <w:spacing w:val="6"/>
            <w:sz w:val="26"/>
            <w:szCs w:val="26"/>
            <w:lang w:val="es-ES"/>
          </w:rPr>
          <w:t>Convenio de 13 de abril de 2023</w:t>
        </w:r>
      </w:hyperlink>
      <w:r w:rsidR="00D86782">
        <w:rPr>
          <w:spacing w:val="6"/>
          <w:sz w:val="26"/>
          <w:szCs w:val="26"/>
          <w:lang w:val="es-ES"/>
        </w:rPr>
        <w:t>.</w:t>
      </w:r>
    </w:p>
    <w:p w14:paraId="5604E056" w14:textId="77777777" w:rsidR="00D86782" w:rsidRDefault="008C559F" w:rsidP="008C559F">
      <w:pPr>
        <w:spacing w:after="60" w:line="280" w:lineRule="atLeast"/>
        <w:ind w:left="425"/>
        <w:jc w:val="both"/>
        <w:rPr>
          <w:spacing w:val="6"/>
          <w:sz w:val="26"/>
          <w:szCs w:val="26"/>
          <w:lang w:val="es-ES"/>
        </w:rPr>
      </w:pPr>
      <w:r>
        <w:rPr>
          <w:b/>
          <w:spacing w:val="6"/>
          <w:sz w:val="26"/>
          <w:szCs w:val="26"/>
          <w:lang w:val="es-ES"/>
        </w:rPr>
        <w:t xml:space="preserve">- </w:t>
      </w:r>
      <w:r w:rsidR="00D86782" w:rsidRPr="007A737B">
        <w:rPr>
          <w:b/>
          <w:spacing w:val="6"/>
          <w:sz w:val="26"/>
          <w:szCs w:val="26"/>
          <w:lang w:val="es-ES"/>
        </w:rPr>
        <w:t>Nava</w:t>
      </w:r>
      <w:r w:rsidR="00D86782">
        <w:rPr>
          <w:spacing w:val="6"/>
          <w:sz w:val="26"/>
          <w:szCs w:val="26"/>
          <w:lang w:val="es-ES"/>
        </w:rPr>
        <w:t xml:space="preserve">, que sí tenía plusvalía, la delegó por </w:t>
      </w:r>
      <w:hyperlink r:id="rId348" w:history="1">
        <w:r w:rsidR="00D86782" w:rsidRPr="007A737B">
          <w:rPr>
            <w:rStyle w:val="Hipervnculo"/>
            <w:spacing w:val="6"/>
            <w:sz w:val="26"/>
            <w:szCs w:val="26"/>
            <w:lang w:val="es-ES"/>
          </w:rPr>
          <w:t>Convenio de 22 de mayo de 2023</w:t>
        </w:r>
      </w:hyperlink>
      <w:r w:rsidR="00D86782">
        <w:rPr>
          <w:spacing w:val="6"/>
          <w:sz w:val="26"/>
          <w:szCs w:val="26"/>
          <w:lang w:val="es-ES"/>
        </w:rPr>
        <w:t>.</w:t>
      </w:r>
    </w:p>
    <w:p w14:paraId="141F3549" w14:textId="2D922577" w:rsidR="00324943" w:rsidRDefault="00324943" w:rsidP="00324943">
      <w:pPr>
        <w:spacing w:after="60" w:line="280" w:lineRule="atLeast"/>
        <w:ind w:left="425"/>
        <w:jc w:val="both"/>
        <w:rPr>
          <w:spacing w:val="6"/>
          <w:sz w:val="26"/>
          <w:szCs w:val="26"/>
          <w:lang w:val="es-ES"/>
        </w:rPr>
      </w:pPr>
      <w:r>
        <w:rPr>
          <w:spacing w:val="6"/>
          <w:sz w:val="26"/>
          <w:szCs w:val="26"/>
          <w:lang w:val="es-ES"/>
        </w:rPr>
        <w:t xml:space="preserve">- </w:t>
      </w:r>
      <w:r w:rsidRPr="00B55513">
        <w:rPr>
          <w:b/>
          <w:spacing w:val="6"/>
          <w:sz w:val="26"/>
          <w:szCs w:val="26"/>
          <w:lang w:val="es-ES"/>
        </w:rPr>
        <w:t>Quirós</w:t>
      </w:r>
      <w:r>
        <w:rPr>
          <w:spacing w:val="6"/>
          <w:sz w:val="26"/>
          <w:szCs w:val="26"/>
          <w:lang w:val="es-ES"/>
        </w:rPr>
        <w:t>, aunque</w:t>
      </w:r>
      <w:r w:rsidR="003324BE">
        <w:rPr>
          <w:spacing w:val="6"/>
          <w:sz w:val="26"/>
          <w:szCs w:val="26"/>
          <w:lang w:val="es-ES"/>
        </w:rPr>
        <w:t xml:space="preserve"> la tiene</w:t>
      </w:r>
      <w:r w:rsidR="00E6715F">
        <w:rPr>
          <w:spacing w:val="6"/>
          <w:sz w:val="26"/>
          <w:szCs w:val="26"/>
          <w:lang w:val="es-ES"/>
        </w:rPr>
        <w:t xml:space="preserve"> delegada desde el 01/01/2026</w:t>
      </w:r>
      <w:r>
        <w:rPr>
          <w:spacing w:val="6"/>
          <w:sz w:val="26"/>
          <w:szCs w:val="26"/>
          <w:lang w:val="es-ES"/>
        </w:rPr>
        <w:t>, en la práctica no se puede enviar la copia por SIGNO</w:t>
      </w:r>
      <w:r w:rsidR="008F56E7">
        <w:rPr>
          <w:spacing w:val="6"/>
          <w:sz w:val="26"/>
          <w:szCs w:val="26"/>
          <w:lang w:val="es-ES"/>
        </w:rPr>
        <w:t>. Tampoco quieren</w:t>
      </w:r>
      <w:r w:rsidR="00E6715F">
        <w:rPr>
          <w:spacing w:val="6"/>
          <w:sz w:val="26"/>
          <w:szCs w:val="26"/>
          <w:lang w:val="es-ES"/>
        </w:rPr>
        <w:t xml:space="preserve"> que se</w:t>
      </w:r>
      <w:r>
        <w:rPr>
          <w:spacing w:val="6"/>
          <w:sz w:val="26"/>
          <w:szCs w:val="26"/>
          <w:lang w:val="es-ES"/>
        </w:rPr>
        <w:t xml:space="preserve"> s</w:t>
      </w:r>
      <w:r w:rsidR="00E6715F">
        <w:rPr>
          <w:spacing w:val="6"/>
          <w:sz w:val="26"/>
          <w:szCs w:val="26"/>
          <w:lang w:val="es-ES"/>
        </w:rPr>
        <w:t>ig</w:t>
      </w:r>
      <w:r w:rsidR="008F56E7">
        <w:rPr>
          <w:spacing w:val="6"/>
          <w:sz w:val="26"/>
          <w:szCs w:val="26"/>
          <w:lang w:val="es-ES"/>
        </w:rPr>
        <w:t>a</w:t>
      </w:r>
      <w:r>
        <w:rPr>
          <w:spacing w:val="6"/>
          <w:sz w:val="26"/>
          <w:szCs w:val="26"/>
          <w:lang w:val="es-ES"/>
        </w:rPr>
        <w:t xml:space="preserve"> </w:t>
      </w:r>
      <w:proofErr w:type="spellStart"/>
      <w:r>
        <w:rPr>
          <w:spacing w:val="6"/>
          <w:sz w:val="26"/>
          <w:szCs w:val="26"/>
          <w:lang w:val="es-ES"/>
        </w:rPr>
        <w:t>envía</w:t>
      </w:r>
      <w:r w:rsidR="00E6715F">
        <w:rPr>
          <w:spacing w:val="6"/>
          <w:sz w:val="26"/>
          <w:szCs w:val="26"/>
          <w:lang w:val="es-ES"/>
        </w:rPr>
        <w:t>ndo</w:t>
      </w:r>
      <w:proofErr w:type="spellEnd"/>
      <w:r>
        <w:rPr>
          <w:spacing w:val="6"/>
          <w:sz w:val="26"/>
          <w:szCs w:val="26"/>
          <w:lang w:val="es-ES"/>
        </w:rPr>
        <w:t xml:space="preserve"> la copia al Ayuntamiento (</w:t>
      </w:r>
      <w:hyperlink r:id="rId349" w:history="1">
        <w:r w:rsidRPr="003475E3">
          <w:rPr>
            <w:rStyle w:val="Hipervnculo"/>
            <w:spacing w:val="6"/>
            <w:sz w:val="26"/>
            <w:szCs w:val="26"/>
            <w:lang w:val="es-ES"/>
          </w:rPr>
          <w:t>info@quiros.es</w:t>
        </w:r>
      </w:hyperlink>
      <w:r>
        <w:rPr>
          <w:spacing w:val="6"/>
          <w:sz w:val="26"/>
          <w:szCs w:val="26"/>
          <w:lang w:val="es-ES"/>
        </w:rPr>
        <w:t xml:space="preserve">) y </w:t>
      </w:r>
      <w:r w:rsidR="008F56E7">
        <w:rPr>
          <w:spacing w:val="6"/>
          <w:sz w:val="26"/>
          <w:szCs w:val="26"/>
          <w:lang w:val="es-ES"/>
        </w:rPr>
        <w:t xml:space="preserve">que </w:t>
      </w:r>
      <w:proofErr w:type="spellStart"/>
      <w:r w:rsidR="008F56E7">
        <w:rPr>
          <w:spacing w:val="6"/>
          <w:sz w:val="26"/>
          <w:szCs w:val="26"/>
          <w:lang w:val="es-ES"/>
        </w:rPr>
        <w:t>eéste</w:t>
      </w:r>
      <w:proofErr w:type="spellEnd"/>
      <w:r w:rsidR="008F56E7">
        <w:rPr>
          <w:spacing w:val="6"/>
          <w:sz w:val="26"/>
          <w:szCs w:val="26"/>
          <w:lang w:val="es-ES"/>
        </w:rPr>
        <w:t xml:space="preserve"> contestase, </w:t>
      </w:r>
      <w:r w:rsidR="003324BE">
        <w:rPr>
          <w:spacing w:val="6"/>
          <w:sz w:val="26"/>
          <w:szCs w:val="26"/>
          <w:lang w:val="es-ES"/>
        </w:rPr>
        <w:t>como hacían antes de tenerla delegada</w:t>
      </w:r>
      <w:r>
        <w:rPr>
          <w:spacing w:val="6"/>
          <w:sz w:val="26"/>
          <w:szCs w:val="26"/>
          <w:lang w:val="es-ES"/>
        </w:rPr>
        <w:t>.</w:t>
      </w:r>
    </w:p>
    <w:p w14:paraId="0C4BF688" w14:textId="77777777" w:rsidR="00D86782" w:rsidRPr="005B1ED7" w:rsidRDefault="00D86782" w:rsidP="00C854F8">
      <w:pPr>
        <w:numPr>
          <w:ilvl w:val="1"/>
          <w:numId w:val="15"/>
        </w:numPr>
        <w:spacing w:line="280" w:lineRule="atLeast"/>
        <w:jc w:val="both"/>
        <w:rPr>
          <w:b/>
          <w:spacing w:val="6"/>
          <w:sz w:val="26"/>
          <w:szCs w:val="26"/>
        </w:rPr>
      </w:pPr>
      <w:bookmarkStart w:id="222" w:name="nodelegada"/>
      <w:bookmarkEnd w:id="222"/>
      <w:r>
        <w:rPr>
          <w:rFonts w:ascii="Times New Roman" w:hAnsi="Times New Roman"/>
          <w:b/>
          <w:spacing w:val="6"/>
          <w:sz w:val="26"/>
          <w:szCs w:val="26"/>
        </w:rPr>
        <w:t>Concejos con plusvalía no delegada</w:t>
      </w:r>
    </w:p>
    <w:bookmarkEnd w:id="221"/>
    <w:p w14:paraId="593D7E0C" w14:textId="77777777" w:rsidR="008C559F" w:rsidRDefault="00FF4CB7" w:rsidP="008C559F">
      <w:pPr>
        <w:spacing w:line="280" w:lineRule="atLeast"/>
        <w:ind w:left="720"/>
        <w:jc w:val="both"/>
        <w:rPr>
          <w:spacing w:val="6"/>
          <w:sz w:val="26"/>
          <w:szCs w:val="26"/>
          <w:lang w:val="es-ES"/>
        </w:rPr>
      </w:pPr>
      <w:r w:rsidRPr="00D86782">
        <w:rPr>
          <w:spacing w:val="6"/>
          <w:sz w:val="26"/>
          <w:szCs w:val="26"/>
          <w:lang w:val="es-ES"/>
        </w:rPr>
        <w:t>Otros concejos que sí tienen “plus</w:t>
      </w:r>
      <w:r w:rsidR="005F032E" w:rsidRPr="00D86782">
        <w:rPr>
          <w:spacing w:val="6"/>
          <w:sz w:val="26"/>
          <w:szCs w:val="26"/>
          <w:lang w:val="es-ES"/>
        </w:rPr>
        <w:t>valía” pero que no la han delegado</w:t>
      </w:r>
      <w:r w:rsidRPr="00D86782">
        <w:rPr>
          <w:spacing w:val="6"/>
          <w:sz w:val="26"/>
          <w:szCs w:val="26"/>
          <w:lang w:val="es-ES"/>
        </w:rPr>
        <w:t>, siguiendo todos ellos el sistema de declaración: Castrillón</w:t>
      </w:r>
      <w:r w:rsidR="00AB1F3A" w:rsidRPr="00D86782">
        <w:rPr>
          <w:spacing w:val="6"/>
          <w:sz w:val="26"/>
          <w:szCs w:val="26"/>
          <w:lang w:val="es-ES"/>
        </w:rPr>
        <w:t>, Corvera,</w:t>
      </w:r>
      <w:r w:rsidR="00365DA5">
        <w:rPr>
          <w:spacing w:val="6"/>
          <w:sz w:val="26"/>
          <w:szCs w:val="26"/>
          <w:lang w:val="es-ES"/>
        </w:rPr>
        <w:t xml:space="preserve"> Gijón,</w:t>
      </w:r>
      <w:r w:rsidR="000916AF" w:rsidRPr="00D86782">
        <w:rPr>
          <w:spacing w:val="6"/>
          <w:sz w:val="26"/>
          <w:szCs w:val="26"/>
          <w:lang w:val="es-ES"/>
        </w:rPr>
        <w:t xml:space="preserve"> Mieres, </w:t>
      </w:r>
      <w:r w:rsidR="00155DB5" w:rsidRPr="00D86782">
        <w:rPr>
          <w:spacing w:val="6"/>
          <w:sz w:val="26"/>
          <w:szCs w:val="26"/>
          <w:lang w:val="es-ES"/>
        </w:rPr>
        <w:t>Noreña</w:t>
      </w:r>
      <w:r w:rsidR="008C559F">
        <w:rPr>
          <w:spacing w:val="6"/>
          <w:sz w:val="26"/>
          <w:szCs w:val="26"/>
          <w:lang w:val="es-ES"/>
        </w:rPr>
        <w:t xml:space="preserve">, </w:t>
      </w:r>
      <w:r w:rsidR="00365DA5">
        <w:rPr>
          <w:spacing w:val="6"/>
          <w:sz w:val="26"/>
          <w:szCs w:val="26"/>
          <w:lang w:val="es-ES"/>
        </w:rPr>
        <w:t>Oviedo</w:t>
      </w:r>
      <w:r w:rsidR="00324943">
        <w:rPr>
          <w:spacing w:val="6"/>
          <w:sz w:val="26"/>
          <w:szCs w:val="26"/>
          <w:lang w:val="es-ES"/>
        </w:rPr>
        <w:t xml:space="preserve"> y</w:t>
      </w:r>
      <w:r w:rsidR="00365DA5">
        <w:rPr>
          <w:spacing w:val="6"/>
          <w:sz w:val="26"/>
          <w:szCs w:val="26"/>
          <w:lang w:val="es-ES"/>
        </w:rPr>
        <w:t xml:space="preserve"> </w:t>
      </w:r>
      <w:r w:rsidR="008C559F">
        <w:rPr>
          <w:spacing w:val="6"/>
          <w:sz w:val="26"/>
          <w:szCs w:val="26"/>
          <w:lang w:val="es-ES"/>
        </w:rPr>
        <w:t>Ponga</w:t>
      </w:r>
      <w:r w:rsidR="005F032E" w:rsidRPr="00D86782">
        <w:rPr>
          <w:spacing w:val="6"/>
          <w:sz w:val="26"/>
          <w:szCs w:val="26"/>
          <w:lang w:val="es-ES"/>
        </w:rPr>
        <w:t>.</w:t>
      </w:r>
    </w:p>
    <w:p w14:paraId="27196681" w14:textId="77777777" w:rsidR="002F75CD" w:rsidRDefault="008C559F" w:rsidP="00365DA5">
      <w:pPr>
        <w:spacing w:line="280" w:lineRule="atLeast"/>
        <w:ind w:left="720"/>
        <w:jc w:val="both"/>
        <w:rPr>
          <w:spacing w:val="6"/>
          <w:sz w:val="26"/>
          <w:szCs w:val="26"/>
          <w:lang w:val="es-ES"/>
        </w:rPr>
      </w:pPr>
      <w:r>
        <w:rPr>
          <w:spacing w:val="6"/>
          <w:sz w:val="26"/>
          <w:szCs w:val="26"/>
          <w:lang w:val="es-ES"/>
        </w:rPr>
        <w:t>Más específicamente:</w:t>
      </w:r>
      <w:r w:rsidR="005F032E" w:rsidRPr="00D86782">
        <w:rPr>
          <w:spacing w:val="6"/>
          <w:sz w:val="26"/>
          <w:szCs w:val="26"/>
          <w:lang w:val="es-ES"/>
        </w:rPr>
        <w:br/>
      </w:r>
      <w:r>
        <w:rPr>
          <w:spacing w:val="6"/>
          <w:sz w:val="26"/>
          <w:szCs w:val="26"/>
          <w:lang w:val="es-ES"/>
        </w:rPr>
        <w:t xml:space="preserve">- </w:t>
      </w:r>
      <w:r w:rsidR="002F75CD" w:rsidRPr="008C559F">
        <w:rPr>
          <w:b/>
          <w:spacing w:val="6"/>
          <w:sz w:val="26"/>
          <w:szCs w:val="26"/>
          <w:lang w:val="es-ES"/>
        </w:rPr>
        <w:t>Ponga</w:t>
      </w:r>
      <w:r w:rsidR="002F75CD" w:rsidRPr="008C559F">
        <w:rPr>
          <w:spacing w:val="6"/>
          <w:sz w:val="26"/>
          <w:szCs w:val="26"/>
          <w:lang w:val="es-ES"/>
        </w:rPr>
        <w:t>,</w:t>
      </w:r>
      <w:r w:rsidR="002F75CD">
        <w:rPr>
          <w:spacing w:val="6"/>
          <w:sz w:val="26"/>
          <w:szCs w:val="26"/>
          <w:lang w:val="es-ES"/>
        </w:rPr>
        <w:t xml:space="preserve"> que no tenía plusvalía, la aprobó por </w:t>
      </w:r>
      <w:hyperlink r:id="rId350" w:history="1">
        <w:r w:rsidR="002F75CD" w:rsidRPr="00A36FED">
          <w:rPr>
            <w:rStyle w:val="Hipervnculo"/>
            <w:spacing w:val="6"/>
            <w:sz w:val="26"/>
            <w:szCs w:val="26"/>
            <w:lang w:val="es-ES"/>
          </w:rPr>
          <w:t>Ordenanza de 23 de diciembre de 20</w:t>
        </w:r>
        <w:r w:rsidR="00A36FED" w:rsidRPr="00A36FED">
          <w:rPr>
            <w:rStyle w:val="Hipervnculo"/>
            <w:spacing w:val="6"/>
            <w:sz w:val="26"/>
            <w:szCs w:val="26"/>
            <w:lang w:val="es-ES"/>
          </w:rPr>
          <w:t>2</w:t>
        </w:r>
        <w:r w:rsidR="002F75CD" w:rsidRPr="00A36FED">
          <w:rPr>
            <w:rStyle w:val="Hipervnculo"/>
            <w:spacing w:val="6"/>
            <w:sz w:val="26"/>
            <w:szCs w:val="26"/>
            <w:lang w:val="es-ES"/>
          </w:rPr>
          <w:t>2</w:t>
        </w:r>
      </w:hyperlink>
      <w:r w:rsidR="002F75CD">
        <w:rPr>
          <w:spacing w:val="6"/>
          <w:sz w:val="26"/>
          <w:szCs w:val="26"/>
          <w:lang w:val="es-ES"/>
        </w:rPr>
        <w:t xml:space="preserve"> (BOPA </w:t>
      </w:r>
      <w:r w:rsidR="00A36FED">
        <w:rPr>
          <w:spacing w:val="6"/>
          <w:sz w:val="26"/>
          <w:szCs w:val="26"/>
          <w:lang w:val="es-ES"/>
        </w:rPr>
        <w:t>13/11/2022; en vigor desde el 14/11/2023).</w:t>
      </w:r>
    </w:p>
    <w:p w14:paraId="147E3C08" w14:textId="77777777" w:rsidR="00365DA5" w:rsidRDefault="00365DA5" w:rsidP="008C559F">
      <w:pPr>
        <w:spacing w:after="60" w:line="280" w:lineRule="atLeast"/>
        <w:ind w:left="720"/>
        <w:jc w:val="both"/>
        <w:rPr>
          <w:spacing w:val="6"/>
          <w:sz w:val="26"/>
          <w:szCs w:val="26"/>
          <w:lang w:val="es-ES"/>
        </w:rPr>
      </w:pPr>
      <w:r>
        <w:rPr>
          <w:spacing w:val="6"/>
          <w:sz w:val="26"/>
          <w:szCs w:val="26"/>
          <w:lang w:val="es-ES"/>
        </w:rPr>
        <w:t>- Para Oviedo y Gijón, ver el apartado correspondiente.</w:t>
      </w:r>
    </w:p>
    <w:p w14:paraId="49D1B83A" w14:textId="77777777" w:rsidR="008C559F" w:rsidRPr="005B1ED7" w:rsidRDefault="008C559F" w:rsidP="00C854F8">
      <w:pPr>
        <w:numPr>
          <w:ilvl w:val="1"/>
          <w:numId w:val="15"/>
        </w:numPr>
        <w:spacing w:line="280" w:lineRule="atLeast"/>
        <w:jc w:val="both"/>
        <w:rPr>
          <w:b/>
          <w:spacing w:val="6"/>
          <w:sz w:val="26"/>
          <w:szCs w:val="26"/>
        </w:rPr>
      </w:pPr>
      <w:bookmarkStart w:id="223" w:name="sinplusvalía"/>
      <w:bookmarkEnd w:id="223"/>
      <w:r>
        <w:rPr>
          <w:rFonts w:ascii="Times New Roman" w:hAnsi="Times New Roman"/>
          <w:b/>
          <w:spacing w:val="6"/>
          <w:sz w:val="26"/>
          <w:szCs w:val="26"/>
        </w:rPr>
        <w:t xml:space="preserve">Concejos </w:t>
      </w:r>
      <w:r w:rsidR="004841D3">
        <w:rPr>
          <w:rFonts w:ascii="Times New Roman" w:hAnsi="Times New Roman"/>
          <w:b/>
          <w:spacing w:val="6"/>
          <w:sz w:val="26"/>
          <w:szCs w:val="26"/>
        </w:rPr>
        <w:t>sin</w:t>
      </w:r>
      <w:r>
        <w:rPr>
          <w:rFonts w:ascii="Times New Roman" w:hAnsi="Times New Roman"/>
          <w:b/>
          <w:spacing w:val="6"/>
          <w:sz w:val="26"/>
          <w:szCs w:val="26"/>
        </w:rPr>
        <w:t xml:space="preserve"> plusvalía</w:t>
      </w:r>
    </w:p>
    <w:p w14:paraId="0D956130" w14:textId="77777777" w:rsidR="00763EC2" w:rsidRDefault="00763EC2" w:rsidP="008C559F">
      <w:pPr>
        <w:spacing w:line="280" w:lineRule="atLeast"/>
        <w:ind w:left="720"/>
        <w:jc w:val="both"/>
        <w:rPr>
          <w:spacing w:val="6"/>
          <w:sz w:val="26"/>
          <w:szCs w:val="26"/>
          <w:lang w:val="es-ES"/>
        </w:rPr>
      </w:pPr>
      <w:r w:rsidRPr="008C559F">
        <w:rPr>
          <w:spacing w:val="6"/>
          <w:sz w:val="26"/>
          <w:szCs w:val="26"/>
          <w:lang w:val="es-ES"/>
        </w:rPr>
        <w:t>Como concejos que no ti</w:t>
      </w:r>
      <w:r w:rsidR="00147F97" w:rsidRPr="008C559F">
        <w:rPr>
          <w:spacing w:val="6"/>
          <w:sz w:val="26"/>
          <w:szCs w:val="26"/>
          <w:lang w:val="es-ES"/>
        </w:rPr>
        <w:t xml:space="preserve">enen “plusvalía”: Amieva, </w:t>
      </w:r>
      <w:r w:rsidR="0019650F">
        <w:rPr>
          <w:spacing w:val="6"/>
          <w:sz w:val="26"/>
          <w:szCs w:val="26"/>
          <w:lang w:val="es-ES"/>
        </w:rPr>
        <w:t xml:space="preserve">Boal, </w:t>
      </w:r>
      <w:r w:rsidRPr="008C559F">
        <w:rPr>
          <w:spacing w:val="6"/>
          <w:sz w:val="26"/>
          <w:szCs w:val="26"/>
          <w:lang w:val="es-ES"/>
        </w:rPr>
        <w:t>Coaña, Degaña,</w:t>
      </w:r>
      <w:r>
        <w:rPr>
          <w:spacing w:val="6"/>
          <w:sz w:val="26"/>
          <w:szCs w:val="26"/>
          <w:lang w:val="es-ES"/>
        </w:rPr>
        <w:t xml:space="preserve"> Grandas de Salime, Il</w:t>
      </w:r>
      <w:r w:rsidR="00BF25A1">
        <w:rPr>
          <w:spacing w:val="6"/>
          <w:sz w:val="26"/>
          <w:szCs w:val="26"/>
          <w:lang w:val="es-ES"/>
        </w:rPr>
        <w:t xml:space="preserve">lano, </w:t>
      </w:r>
      <w:r w:rsidR="0011508D">
        <w:rPr>
          <w:spacing w:val="6"/>
          <w:sz w:val="26"/>
          <w:szCs w:val="26"/>
          <w:lang w:val="es-ES"/>
        </w:rPr>
        <w:t xml:space="preserve">Pesoz, Ponga, </w:t>
      </w:r>
      <w:r w:rsidR="008535F0">
        <w:rPr>
          <w:spacing w:val="6"/>
          <w:sz w:val="26"/>
          <w:szCs w:val="26"/>
          <w:lang w:val="es-ES"/>
        </w:rPr>
        <w:t xml:space="preserve">Proaza, </w:t>
      </w:r>
      <w:r w:rsidR="00BD5CF7">
        <w:rPr>
          <w:spacing w:val="6"/>
          <w:sz w:val="26"/>
          <w:szCs w:val="26"/>
          <w:lang w:val="es-ES"/>
        </w:rPr>
        <w:t xml:space="preserve">Ribera de Arriba, </w:t>
      </w:r>
      <w:r>
        <w:rPr>
          <w:spacing w:val="6"/>
          <w:sz w:val="26"/>
          <w:szCs w:val="26"/>
          <w:lang w:val="es-ES"/>
        </w:rPr>
        <w:t>Riosa, San Martín de Oscos, Santa Eulalia de Oscos, Santo Adriano, Sariego, Villanueva de Oscos y Villayón.</w:t>
      </w:r>
    </w:p>
    <w:p w14:paraId="36BE394B" w14:textId="77777777" w:rsidR="008C559F" w:rsidRDefault="008C559F" w:rsidP="008C559F">
      <w:pPr>
        <w:spacing w:line="280" w:lineRule="atLeast"/>
        <w:ind w:left="720"/>
        <w:jc w:val="both"/>
        <w:rPr>
          <w:spacing w:val="6"/>
          <w:sz w:val="26"/>
          <w:szCs w:val="26"/>
          <w:lang w:val="es-ES"/>
        </w:rPr>
      </w:pPr>
      <w:r>
        <w:rPr>
          <w:spacing w:val="6"/>
          <w:sz w:val="26"/>
          <w:szCs w:val="26"/>
          <w:lang w:val="es-ES"/>
        </w:rPr>
        <w:t>Más específicamente:</w:t>
      </w:r>
    </w:p>
    <w:p w14:paraId="3AA8B755" w14:textId="77777777" w:rsidR="0019650F" w:rsidRDefault="0019650F" w:rsidP="0019650F">
      <w:pPr>
        <w:spacing w:line="280" w:lineRule="atLeast"/>
        <w:ind w:left="720"/>
        <w:jc w:val="both"/>
        <w:rPr>
          <w:spacing w:val="6"/>
          <w:sz w:val="26"/>
          <w:szCs w:val="26"/>
          <w:lang w:val="es-ES"/>
        </w:rPr>
      </w:pPr>
      <w:r>
        <w:rPr>
          <w:b/>
          <w:spacing w:val="6"/>
          <w:sz w:val="26"/>
          <w:szCs w:val="26"/>
          <w:lang w:val="es-ES"/>
        </w:rPr>
        <w:t xml:space="preserve">- </w:t>
      </w:r>
      <w:r w:rsidRPr="007050E9">
        <w:rPr>
          <w:b/>
          <w:spacing w:val="6"/>
          <w:sz w:val="26"/>
          <w:szCs w:val="26"/>
          <w:lang w:val="es-ES"/>
        </w:rPr>
        <w:t>Boal</w:t>
      </w:r>
      <w:r>
        <w:rPr>
          <w:spacing w:val="6"/>
          <w:sz w:val="26"/>
          <w:szCs w:val="26"/>
          <w:lang w:val="es-ES"/>
        </w:rPr>
        <w:t xml:space="preserve">, que no tenía plusvalía, la delegó por </w:t>
      </w:r>
      <w:hyperlink r:id="rId351" w:history="1">
        <w:r w:rsidRPr="007050E9">
          <w:rPr>
            <w:rStyle w:val="Hipervnculo"/>
            <w:spacing w:val="6"/>
            <w:sz w:val="26"/>
            <w:szCs w:val="26"/>
            <w:lang w:val="es-ES"/>
          </w:rPr>
          <w:t>Convenio de 22 de abril de 2021</w:t>
        </w:r>
      </w:hyperlink>
      <w:r>
        <w:rPr>
          <w:spacing w:val="6"/>
          <w:sz w:val="26"/>
          <w:szCs w:val="26"/>
          <w:lang w:val="es-ES"/>
        </w:rPr>
        <w:t>. Aunque telefónicamente comproba</w:t>
      </w:r>
      <w:r w:rsidR="00ED2EDF">
        <w:rPr>
          <w:spacing w:val="6"/>
          <w:sz w:val="26"/>
          <w:szCs w:val="26"/>
          <w:lang w:val="es-ES"/>
        </w:rPr>
        <w:t>mos</w:t>
      </w:r>
      <w:r>
        <w:rPr>
          <w:spacing w:val="6"/>
          <w:sz w:val="26"/>
          <w:szCs w:val="26"/>
          <w:lang w:val="es-ES"/>
        </w:rPr>
        <w:t xml:space="preserve"> el 17/05/2024 que no la tiene aprobada. Y en el nuevo Convenio publicado en el BOJA de 10/06/2025 ya no figura delegada la “plusvalía”.</w:t>
      </w:r>
    </w:p>
    <w:p w14:paraId="758DFD7C" w14:textId="77777777" w:rsidR="008535F0" w:rsidRDefault="008C559F" w:rsidP="00455E9D">
      <w:pPr>
        <w:spacing w:line="280" w:lineRule="atLeast"/>
        <w:ind w:left="720"/>
        <w:jc w:val="both"/>
        <w:rPr>
          <w:spacing w:val="6"/>
          <w:sz w:val="26"/>
          <w:szCs w:val="26"/>
          <w:lang w:val="es-ES"/>
        </w:rPr>
      </w:pPr>
      <w:r>
        <w:rPr>
          <w:b/>
          <w:spacing w:val="6"/>
          <w:sz w:val="26"/>
          <w:szCs w:val="26"/>
          <w:lang w:val="es-ES"/>
        </w:rPr>
        <w:t xml:space="preserve">- </w:t>
      </w:r>
      <w:r w:rsidR="008535F0">
        <w:rPr>
          <w:b/>
          <w:spacing w:val="6"/>
          <w:sz w:val="26"/>
          <w:szCs w:val="26"/>
          <w:lang w:val="es-ES"/>
        </w:rPr>
        <w:t>Proaza</w:t>
      </w:r>
      <w:r w:rsidR="008535F0">
        <w:rPr>
          <w:spacing w:val="6"/>
          <w:sz w:val="26"/>
          <w:szCs w:val="26"/>
          <w:lang w:val="es-ES"/>
        </w:rPr>
        <w:t xml:space="preserve">, que no tenía plusvalía, la delegó por </w:t>
      </w:r>
      <w:hyperlink r:id="rId352" w:history="1">
        <w:r w:rsidR="008535F0" w:rsidRPr="0011508D">
          <w:rPr>
            <w:rStyle w:val="Hipervnculo"/>
            <w:spacing w:val="6"/>
            <w:sz w:val="26"/>
            <w:szCs w:val="26"/>
            <w:lang w:val="es-ES"/>
          </w:rPr>
          <w:t>Convenio de 18 de junio de 2021</w:t>
        </w:r>
      </w:hyperlink>
      <w:r w:rsidR="008535F0">
        <w:rPr>
          <w:spacing w:val="6"/>
          <w:sz w:val="26"/>
          <w:szCs w:val="26"/>
          <w:lang w:val="es-ES"/>
        </w:rPr>
        <w:t xml:space="preserve">. </w:t>
      </w:r>
      <w:bookmarkStart w:id="224" w:name="_Hlk208399402"/>
      <w:r w:rsidR="008535F0">
        <w:rPr>
          <w:spacing w:val="6"/>
          <w:sz w:val="26"/>
          <w:szCs w:val="26"/>
          <w:lang w:val="es-ES"/>
        </w:rPr>
        <w:t>Aunque telefónicamente comprobamos el 09/05/2023 que no la tenía aprobada</w:t>
      </w:r>
      <w:bookmarkEnd w:id="224"/>
      <w:r w:rsidR="008535F0">
        <w:rPr>
          <w:spacing w:val="6"/>
          <w:sz w:val="26"/>
          <w:szCs w:val="26"/>
          <w:lang w:val="es-ES"/>
        </w:rPr>
        <w:t xml:space="preserve">. Y en el reciente </w:t>
      </w:r>
      <w:hyperlink r:id="rId353" w:history="1">
        <w:r w:rsidR="008535F0" w:rsidRPr="008535F0">
          <w:rPr>
            <w:rStyle w:val="Hipervnculo"/>
            <w:spacing w:val="6"/>
            <w:sz w:val="26"/>
            <w:szCs w:val="26"/>
            <w:lang w:val="es-ES"/>
          </w:rPr>
          <w:t>Convenio de 30 de julio de 2025</w:t>
        </w:r>
      </w:hyperlink>
      <w:r w:rsidR="008535F0">
        <w:rPr>
          <w:spacing w:val="6"/>
          <w:sz w:val="26"/>
          <w:szCs w:val="26"/>
          <w:lang w:val="es-ES"/>
        </w:rPr>
        <w:t xml:space="preserve"> (BOJA 25/08/2025) ya no consta como delegada.</w:t>
      </w:r>
    </w:p>
    <w:p w14:paraId="6342746F" w14:textId="29201D52" w:rsidR="00BD5CF7" w:rsidRDefault="00BD5CF7" w:rsidP="008C559F">
      <w:pPr>
        <w:spacing w:after="60" w:line="280" w:lineRule="atLeast"/>
        <w:ind w:left="720"/>
        <w:jc w:val="both"/>
        <w:rPr>
          <w:spacing w:val="6"/>
          <w:sz w:val="26"/>
          <w:szCs w:val="26"/>
        </w:rPr>
      </w:pPr>
      <w:r>
        <w:rPr>
          <w:spacing w:val="6"/>
          <w:sz w:val="26"/>
          <w:szCs w:val="26"/>
        </w:rPr>
        <w:t xml:space="preserve">- </w:t>
      </w:r>
      <w:r w:rsidRPr="00BD5CF7">
        <w:rPr>
          <w:b/>
          <w:spacing w:val="6"/>
          <w:sz w:val="26"/>
          <w:szCs w:val="26"/>
        </w:rPr>
        <w:t>Ribera de Arriba</w:t>
      </w:r>
      <w:r>
        <w:rPr>
          <w:spacing w:val="6"/>
          <w:sz w:val="26"/>
          <w:szCs w:val="26"/>
        </w:rPr>
        <w:t xml:space="preserve"> tenía la plusvalía delegada. </w:t>
      </w:r>
      <w:r>
        <w:rPr>
          <w:spacing w:val="6"/>
          <w:sz w:val="26"/>
          <w:szCs w:val="26"/>
          <w:lang w:val="es-ES"/>
        </w:rPr>
        <w:t xml:space="preserve">Aunque telefónicamente comprobamos el </w:t>
      </w:r>
      <w:r w:rsidR="00755D34">
        <w:rPr>
          <w:spacing w:val="6"/>
          <w:sz w:val="26"/>
          <w:szCs w:val="26"/>
          <w:lang w:val="es-ES"/>
        </w:rPr>
        <w:t>21</w:t>
      </w:r>
      <w:r>
        <w:rPr>
          <w:spacing w:val="6"/>
          <w:sz w:val="26"/>
          <w:szCs w:val="26"/>
          <w:lang w:val="es-ES"/>
        </w:rPr>
        <w:t>/</w:t>
      </w:r>
      <w:r w:rsidR="00755D34">
        <w:rPr>
          <w:spacing w:val="6"/>
          <w:sz w:val="26"/>
          <w:szCs w:val="26"/>
          <w:lang w:val="es-ES"/>
        </w:rPr>
        <w:t>07</w:t>
      </w:r>
      <w:r>
        <w:rPr>
          <w:spacing w:val="6"/>
          <w:sz w:val="26"/>
          <w:szCs w:val="26"/>
          <w:lang w:val="es-ES"/>
        </w:rPr>
        <w:t>/202</w:t>
      </w:r>
      <w:r w:rsidR="00755D34">
        <w:rPr>
          <w:spacing w:val="6"/>
          <w:sz w:val="26"/>
          <w:szCs w:val="26"/>
          <w:lang w:val="es-ES"/>
        </w:rPr>
        <w:t>6</w:t>
      </w:r>
      <w:r>
        <w:rPr>
          <w:spacing w:val="6"/>
          <w:sz w:val="26"/>
          <w:szCs w:val="26"/>
          <w:lang w:val="es-ES"/>
        </w:rPr>
        <w:t xml:space="preserve"> que no tiene plusvalía. Y</w:t>
      </w:r>
      <w:r>
        <w:rPr>
          <w:spacing w:val="6"/>
          <w:sz w:val="26"/>
          <w:szCs w:val="26"/>
        </w:rPr>
        <w:t xml:space="preserve"> en el reciente Convenio publicado en el BO</w:t>
      </w:r>
      <w:r w:rsidR="00755D34">
        <w:rPr>
          <w:spacing w:val="6"/>
          <w:sz w:val="26"/>
          <w:szCs w:val="26"/>
        </w:rPr>
        <w:t>P</w:t>
      </w:r>
      <w:r>
        <w:rPr>
          <w:spacing w:val="6"/>
          <w:sz w:val="26"/>
          <w:szCs w:val="26"/>
        </w:rPr>
        <w:t>A de 10/06/2025 no figura la delegación de la “plusvalía”.</w:t>
      </w:r>
    </w:p>
    <w:p w14:paraId="17CEA84A" w14:textId="77777777" w:rsidR="008E252C" w:rsidRPr="005B1ED7" w:rsidRDefault="008E252C" w:rsidP="00C854F8">
      <w:pPr>
        <w:numPr>
          <w:ilvl w:val="1"/>
          <w:numId w:val="15"/>
        </w:numPr>
        <w:tabs>
          <w:tab w:val="clear" w:pos="792"/>
          <w:tab w:val="num" w:pos="426"/>
        </w:tabs>
        <w:spacing w:line="280" w:lineRule="atLeast"/>
        <w:ind w:hanging="792"/>
        <w:jc w:val="both"/>
        <w:rPr>
          <w:b/>
          <w:spacing w:val="6"/>
          <w:sz w:val="26"/>
          <w:szCs w:val="26"/>
        </w:rPr>
      </w:pPr>
      <w:bookmarkStart w:id="225" w:name="Oviedo"/>
      <w:bookmarkStart w:id="226" w:name="_Hlk208395944"/>
      <w:bookmarkEnd w:id="225"/>
      <w:r w:rsidRPr="005B1ED7">
        <w:rPr>
          <w:rFonts w:ascii="Times New Roman" w:hAnsi="Times New Roman"/>
          <w:b/>
          <w:spacing w:val="6"/>
          <w:sz w:val="26"/>
          <w:szCs w:val="26"/>
        </w:rPr>
        <w:t>Oviedo</w:t>
      </w:r>
    </w:p>
    <w:p w14:paraId="6E1AEB9B" w14:textId="77777777" w:rsidR="00D37CF4" w:rsidRPr="00BC6C3F" w:rsidRDefault="00D37CF4" w:rsidP="00C854F8">
      <w:pPr>
        <w:numPr>
          <w:ilvl w:val="2"/>
          <w:numId w:val="15"/>
        </w:numPr>
        <w:tabs>
          <w:tab w:val="clear" w:pos="1440"/>
          <w:tab w:val="num" w:pos="1134"/>
        </w:tabs>
        <w:spacing w:line="280" w:lineRule="atLeast"/>
        <w:ind w:hanging="798"/>
        <w:jc w:val="both"/>
        <w:rPr>
          <w:b/>
          <w:spacing w:val="6"/>
          <w:sz w:val="22"/>
          <w:szCs w:val="22"/>
        </w:rPr>
      </w:pPr>
      <w:bookmarkStart w:id="227" w:name="normativa72"/>
      <w:bookmarkStart w:id="228" w:name="normativa711"/>
      <w:bookmarkEnd w:id="226"/>
      <w:bookmarkEnd w:id="227"/>
      <w:bookmarkEnd w:id="228"/>
      <w:r w:rsidRPr="00BC6C3F">
        <w:rPr>
          <w:rFonts w:ascii="Times New Roman" w:hAnsi="Times New Roman"/>
          <w:b/>
          <w:spacing w:val="6"/>
          <w:sz w:val="26"/>
          <w:szCs w:val="26"/>
        </w:rPr>
        <w:t>Normativa</w:t>
      </w:r>
    </w:p>
    <w:p w14:paraId="19CD9983" w14:textId="77777777" w:rsidR="00D66495" w:rsidRDefault="00D66495" w:rsidP="00D66495">
      <w:pPr>
        <w:tabs>
          <w:tab w:val="left" w:leader="hyphen" w:pos="7320"/>
        </w:tabs>
        <w:ind w:left="1224"/>
        <w:jc w:val="both"/>
        <w:rPr>
          <w:spacing w:val="6"/>
          <w:sz w:val="26"/>
          <w:szCs w:val="26"/>
        </w:rPr>
      </w:pPr>
      <w:r>
        <w:rPr>
          <w:spacing w:val="6"/>
          <w:sz w:val="26"/>
          <w:szCs w:val="26"/>
        </w:rPr>
        <w:lastRenderedPageBreak/>
        <w:t xml:space="preserve">Oviedo no ha delegado la </w:t>
      </w:r>
      <w:proofErr w:type="spellStart"/>
      <w:r>
        <w:rPr>
          <w:spacing w:val="6"/>
          <w:sz w:val="26"/>
          <w:szCs w:val="26"/>
        </w:rPr>
        <w:t>gestiónen</w:t>
      </w:r>
      <w:proofErr w:type="spellEnd"/>
      <w:r>
        <w:rPr>
          <w:spacing w:val="6"/>
          <w:sz w:val="26"/>
          <w:szCs w:val="26"/>
        </w:rPr>
        <w:t xml:space="preserve"> los Servicios Tributarios del Principado y sigue el sistema de declaración</w:t>
      </w:r>
      <w:r w:rsidR="00D86782">
        <w:rPr>
          <w:spacing w:val="6"/>
          <w:sz w:val="26"/>
          <w:szCs w:val="26"/>
        </w:rPr>
        <w:t xml:space="preserve">, </w:t>
      </w:r>
      <w:r>
        <w:rPr>
          <w:spacing w:val="6"/>
          <w:sz w:val="26"/>
          <w:szCs w:val="26"/>
        </w:rPr>
        <w:t>aunque me informan de que voluntariamente puede presentarse autoliquidación.</w:t>
      </w:r>
    </w:p>
    <w:p w14:paraId="7F870855" w14:textId="77777777" w:rsidR="00D66495" w:rsidRPr="00023E5E" w:rsidRDefault="00D66495" w:rsidP="00D66495">
      <w:pPr>
        <w:tabs>
          <w:tab w:val="left" w:leader="hyphen" w:pos="7320"/>
        </w:tabs>
        <w:ind w:left="1224"/>
        <w:jc w:val="both"/>
        <w:rPr>
          <w:rFonts w:ascii="Arial" w:hAnsi="Arial" w:cs="Arial"/>
          <w:sz w:val="26"/>
          <w:szCs w:val="26"/>
        </w:rPr>
      </w:pPr>
      <w:r>
        <w:rPr>
          <w:spacing w:val="6"/>
          <w:sz w:val="26"/>
          <w:szCs w:val="26"/>
        </w:rPr>
        <w:t xml:space="preserve">En la práctica, el Notario lo comunica a través de la plataforma SIGNO (incluso tratándose de actos gratuitos como herencias y donaciones) y el Ayuntamiento ya se pone en contacto con el contribuyente. Para ello añadimos en la cláusula de comunicación a los efectos de levantar el cierre registral: </w:t>
      </w:r>
      <w:r w:rsidRPr="00023E5E">
        <w:rPr>
          <w:rFonts w:ascii="Times New Roman" w:hAnsi="Times New Roman"/>
          <w:sz w:val="26"/>
          <w:szCs w:val="26"/>
        </w:rPr>
        <w:t>Asimismo el sujeto pasivo manifiesta que tal presentación tenga el valor de declaración.</w:t>
      </w:r>
    </w:p>
    <w:p w14:paraId="7A57AB99" w14:textId="77777777" w:rsidR="00DF1B96" w:rsidRDefault="00DF1B96" w:rsidP="00D66495">
      <w:pPr>
        <w:spacing w:line="280" w:lineRule="atLeast"/>
        <w:ind w:left="1224"/>
        <w:jc w:val="both"/>
        <w:rPr>
          <w:rFonts w:ascii="Times New Roman" w:hAnsi="Times New Roman"/>
          <w:spacing w:val="6"/>
          <w:sz w:val="26"/>
          <w:szCs w:val="26"/>
        </w:rPr>
      </w:pPr>
      <w:r w:rsidRPr="00DF1B96">
        <w:rPr>
          <w:rFonts w:ascii="Times New Roman" w:hAnsi="Times New Roman"/>
          <w:spacing w:val="6"/>
          <w:sz w:val="26"/>
          <w:szCs w:val="26"/>
        </w:rPr>
        <w:t xml:space="preserve">Se rige por la </w:t>
      </w:r>
      <w:r>
        <w:rPr>
          <w:rFonts w:ascii="Times New Roman" w:hAnsi="Times New Roman"/>
          <w:spacing w:val="6"/>
          <w:sz w:val="26"/>
          <w:szCs w:val="26"/>
        </w:rPr>
        <w:t xml:space="preserve">específica </w:t>
      </w:r>
      <w:hyperlink r:id="rId354" w:history="1">
        <w:r w:rsidRPr="00DA7AB9">
          <w:rPr>
            <w:rStyle w:val="Hipervnculo"/>
            <w:rFonts w:ascii="Times New Roman" w:hAnsi="Times New Roman"/>
            <w:spacing w:val="6"/>
            <w:sz w:val="26"/>
            <w:szCs w:val="26"/>
          </w:rPr>
          <w:t>Ordenanza Fiscal</w:t>
        </w:r>
        <w:r w:rsidR="00C82453" w:rsidRPr="00DA7AB9">
          <w:rPr>
            <w:rStyle w:val="Hipervnculo"/>
            <w:rFonts w:ascii="Times New Roman" w:hAnsi="Times New Roman"/>
            <w:spacing w:val="6"/>
            <w:sz w:val="26"/>
            <w:szCs w:val="26"/>
          </w:rPr>
          <w:t xml:space="preserve"> del Ayuntamiento de Oviedo</w:t>
        </w:r>
        <w:r w:rsidRPr="00DA7AB9">
          <w:rPr>
            <w:rStyle w:val="Hipervnculo"/>
            <w:rFonts w:ascii="Times New Roman" w:hAnsi="Times New Roman"/>
            <w:spacing w:val="6"/>
            <w:sz w:val="26"/>
            <w:szCs w:val="26"/>
          </w:rPr>
          <w:t xml:space="preserve"> del Impuesto sobre Incremento de Valor de los Terrenos </w:t>
        </w:r>
        <w:r w:rsidR="00C82453" w:rsidRPr="00DA7AB9">
          <w:rPr>
            <w:rStyle w:val="Hipervnculo"/>
            <w:rFonts w:ascii="Times New Roman" w:hAnsi="Times New Roman"/>
            <w:spacing w:val="6"/>
            <w:sz w:val="26"/>
            <w:szCs w:val="26"/>
          </w:rPr>
          <w:t>de Naturaleza Urbana, número 404</w:t>
        </w:r>
        <w:r w:rsidRPr="00DA7AB9">
          <w:rPr>
            <w:rStyle w:val="Hipervnculo"/>
            <w:rFonts w:ascii="Times New Roman" w:hAnsi="Times New Roman"/>
            <w:spacing w:val="6"/>
            <w:sz w:val="26"/>
            <w:szCs w:val="26"/>
          </w:rPr>
          <w:t>, de 13 de diciembre de 1989</w:t>
        </w:r>
      </w:hyperlink>
      <w:r>
        <w:rPr>
          <w:rFonts w:ascii="Times New Roman" w:hAnsi="Times New Roman"/>
          <w:spacing w:val="6"/>
          <w:sz w:val="26"/>
          <w:szCs w:val="26"/>
        </w:rPr>
        <w:t>. Fue modificada por Acuerdo de 22 de diciembre de 2016, en vigor desde el 1 de enero de 2017.</w:t>
      </w:r>
    </w:p>
    <w:p w14:paraId="105EFD34" w14:textId="77777777" w:rsidR="00054111" w:rsidRDefault="00054111" w:rsidP="00D66495">
      <w:pPr>
        <w:spacing w:line="280" w:lineRule="atLeast"/>
        <w:ind w:left="1224"/>
        <w:jc w:val="both"/>
        <w:rPr>
          <w:rFonts w:ascii="Times New Roman" w:hAnsi="Times New Roman"/>
          <w:spacing w:val="6"/>
          <w:sz w:val="26"/>
          <w:szCs w:val="26"/>
        </w:rPr>
      </w:pPr>
      <w:r>
        <w:rPr>
          <w:rFonts w:ascii="Times New Roman" w:hAnsi="Times New Roman"/>
          <w:spacing w:val="6"/>
          <w:sz w:val="26"/>
          <w:szCs w:val="26"/>
        </w:rPr>
        <w:t>Destacar</w:t>
      </w:r>
      <w:r w:rsidR="003F02D5">
        <w:rPr>
          <w:rFonts w:ascii="Times New Roman" w:hAnsi="Times New Roman"/>
          <w:spacing w:val="6"/>
          <w:sz w:val="26"/>
          <w:szCs w:val="26"/>
        </w:rPr>
        <w:t xml:space="preserve"> que el </w:t>
      </w:r>
      <w:hyperlink r:id="rId355" w:history="1">
        <w:r w:rsidR="003F02D5" w:rsidRPr="003F02D5">
          <w:rPr>
            <w:rStyle w:val="Hipervnculo"/>
            <w:rFonts w:ascii="Times New Roman" w:hAnsi="Times New Roman"/>
            <w:spacing w:val="6"/>
            <w:sz w:val="26"/>
            <w:szCs w:val="26"/>
          </w:rPr>
          <w:t>art.</w:t>
        </w:r>
        <w:r w:rsidR="003D573D" w:rsidRPr="003F02D5">
          <w:rPr>
            <w:rStyle w:val="Hipervnculo"/>
            <w:rFonts w:ascii="Times New Roman" w:hAnsi="Times New Roman"/>
            <w:spacing w:val="6"/>
            <w:sz w:val="26"/>
            <w:szCs w:val="26"/>
          </w:rPr>
          <w:t xml:space="preserve"> 5</w:t>
        </w:r>
      </w:hyperlink>
      <w:r w:rsidR="003D573D">
        <w:rPr>
          <w:rFonts w:ascii="Times New Roman" w:hAnsi="Times New Roman"/>
          <w:spacing w:val="6"/>
          <w:sz w:val="26"/>
          <w:szCs w:val="26"/>
        </w:rPr>
        <w:t xml:space="preserve"> prevé</w:t>
      </w:r>
      <w:r>
        <w:rPr>
          <w:rFonts w:ascii="Times New Roman" w:hAnsi="Times New Roman"/>
          <w:spacing w:val="6"/>
          <w:sz w:val="26"/>
          <w:szCs w:val="26"/>
        </w:rPr>
        <w:t xml:space="preserve"> una bonificación en la cuota en las transmisiones mortis causa de la vivienda habitual, cuando el adjudicatario en</w:t>
      </w:r>
      <w:r w:rsidR="00BD53D8">
        <w:rPr>
          <w:rFonts w:ascii="Times New Roman" w:hAnsi="Times New Roman"/>
          <w:spacing w:val="6"/>
          <w:sz w:val="26"/>
          <w:szCs w:val="26"/>
        </w:rPr>
        <w:t xml:space="preserve"> pleno dominio,</w:t>
      </w:r>
      <w:r>
        <w:rPr>
          <w:rFonts w:ascii="Times New Roman" w:hAnsi="Times New Roman"/>
          <w:spacing w:val="6"/>
          <w:sz w:val="26"/>
          <w:szCs w:val="26"/>
        </w:rPr>
        <w:t xml:space="preserve"> usufructo</w:t>
      </w:r>
      <w:r w:rsidR="00BD53D8">
        <w:rPr>
          <w:rFonts w:ascii="Times New Roman" w:hAnsi="Times New Roman"/>
          <w:spacing w:val="6"/>
          <w:sz w:val="26"/>
          <w:szCs w:val="26"/>
        </w:rPr>
        <w:t xml:space="preserve"> o nuda propiedad</w:t>
      </w:r>
      <w:r>
        <w:rPr>
          <w:rFonts w:ascii="Times New Roman" w:hAnsi="Times New Roman"/>
          <w:spacing w:val="6"/>
          <w:sz w:val="26"/>
          <w:szCs w:val="26"/>
        </w:rPr>
        <w:t xml:space="preserve"> sea cónyuge, descendiente o ascendiente y hubiese convivido con el causante durante el año anterior al fallecimiento y la destine a su vivienda habitual durante 3 años.</w:t>
      </w:r>
    </w:p>
    <w:p w14:paraId="272467AB" w14:textId="77777777" w:rsidR="00054111" w:rsidRPr="00DF1B96" w:rsidRDefault="00054111" w:rsidP="00D66495">
      <w:pPr>
        <w:spacing w:line="280" w:lineRule="atLeast"/>
        <w:ind w:left="1224"/>
        <w:jc w:val="both"/>
        <w:rPr>
          <w:spacing w:val="6"/>
          <w:sz w:val="22"/>
          <w:szCs w:val="22"/>
        </w:rPr>
      </w:pPr>
      <w:r>
        <w:rPr>
          <w:rFonts w:ascii="Times New Roman" w:hAnsi="Times New Roman"/>
          <w:spacing w:val="6"/>
          <w:sz w:val="26"/>
          <w:szCs w:val="26"/>
        </w:rPr>
        <w:t>La bonificación es del 95% cuando el valor catastral del suelo correspondiente al total de la vivienda (sin incluir garajes o trasteros) no supere los 46.000 €; del 60% si supera los 46.000 € y no excede de 70.000 €; y no habrá lugar a bonificación si supera los 70.000 €.</w:t>
      </w:r>
    </w:p>
    <w:p w14:paraId="3AA9D24E" w14:textId="77777777" w:rsidR="00BC6C3F" w:rsidRDefault="00D37CF4" w:rsidP="00C854F8">
      <w:pPr>
        <w:numPr>
          <w:ilvl w:val="2"/>
          <w:numId w:val="15"/>
        </w:numPr>
        <w:tabs>
          <w:tab w:val="clear" w:pos="1440"/>
          <w:tab w:val="num" w:pos="1134"/>
        </w:tabs>
        <w:spacing w:line="280" w:lineRule="atLeast"/>
        <w:ind w:left="709" w:hanging="283"/>
        <w:jc w:val="both"/>
        <w:rPr>
          <w:b/>
          <w:spacing w:val="6"/>
          <w:sz w:val="22"/>
          <w:szCs w:val="22"/>
        </w:rPr>
      </w:pPr>
      <w:bookmarkStart w:id="229" w:name="tratamiento712"/>
      <w:bookmarkEnd w:id="229"/>
      <w:r>
        <w:rPr>
          <w:rFonts w:ascii="Times New Roman" w:hAnsi="Times New Roman"/>
          <w:b/>
          <w:spacing w:val="6"/>
          <w:sz w:val="26"/>
          <w:szCs w:val="26"/>
        </w:rPr>
        <w:t>Tratamiento notarial</w:t>
      </w:r>
    </w:p>
    <w:p w14:paraId="1FF5C33E" w14:textId="77777777" w:rsidR="00FA6F19" w:rsidRPr="00BC6C3F" w:rsidRDefault="00FA6F19" w:rsidP="00C854F8">
      <w:pPr>
        <w:numPr>
          <w:ilvl w:val="1"/>
          <w:numId w:val="21"/>
        </w:numPr>
        <w:spacing w:line="280" w:lineRule="atLeast"/>
        <w:jc w:val="both"/>
        <w:rPr>
          <w:b/>
          <w:spacing w:val="6"/>
          <w:sz w:val="22"/>
          <w:szCs w:val="22"/>
        </w:rPr>
      </w:pPr>
      <w:r w:rsidRPr="00BC6C3F">
        <w:rPr>
          <w:rFonts w:ascii="Times New Roman" w:hAnsi="Times New Roman"/>
          <w:spacing w:val="6"/>
          <w:sz w:val="26"/>
          <w:szCs w:val="26"/>
        </w:rPr>
        <w:t>Se trata</w:t>
      </w:r>
      <w:r w:rsidR="00F00593" w:rsidRPr="00BC6C3F">
        <w:rPr>
          <w:rFonts w:ascii="Times New Roman" w:hAnsi="Times New Roman"/>
          <w:spacing w:val="6"/>
          <w:sz w:val="26"/>
          <w:szCs w:val="26"/>
        </w:rPr>
        <w:t xml:space="preserve"> (el del </w:t>
      </w:r>
      <w:hyperlink r:id="rId356" w:history="1">
        <w:r w:rsidR="00F00593" w:rsidRPr="00DA7AB9">
          <w:rPr>
            <w:rStyle w:val="Hipervnculo"/>
            <w:rFonts w:ascii="Times New Roman" w:hAnsi="Times New Roman"/>
            <w:spacing w:val="6"/>
            <w:sz w:val="26"/>
            <w:szCs w:val="26"/>
          </w:rPr>
          <w:t>art. 5</w:t>
        </w:r>
      </w:hyperlink>
      <w:r w:rsidR="00F00593" w:rsidRPr="00BC6C3F">
        <w:rPr>
          <w:rFonts w:ascii="Times New Roman" w:hAnsi="Times New Roman"/>
          <w:spacing w:val="6"/>
          <w:sz w:val="26"/>
          <w:szCs w:val="26"/>
        </w:rPr>
        <w:t xml:space="preserve"> para la transmisión mortis causa de la vivienda habitual)</w:t>
      </w:r>
      <w:r w:rsidRPr="00BC6C3F">
        <w:rPr>
          <w:rFonts w:ascii="Times New Roman" w:hAnsi="Times New Roman"/>
          <w:spacing w:val="6"/>
          <w:sz w:val="26"/>
          <w:szCs w:val="26"/>
        </w:rPr>
        <w:t xml:space="preserve"> de un beneficio rogado</w:t>
      </w:r>
      <w:r w:rsidR="00BD53D8" w:rsidRPr="00BC6C3F">
        <w:rPr>
          <w:rFonts w:ascii="Times New Roman" w:hAnsi="Times New Roman"/>
          <w:spacing w:val="6"/>
          <w:sz w:val="26"/>
          <w:szCs w:val="26"/>
        </w:rPr>
        <w:t xml:space="preserve"> en el plazo de 6 meses</w:t>
      </w:r>
      <w:r w:rsidR="003D573D" w:rsidRPr="00BC6C3F">
        <w:rPr>
          <w:rFonts w:ascii="Times New Roman" w:hAnsi="Times New Roman"/>
          <w:spacing w:val="6"/>
          <w:sz w:val="26"/>
          <w:szCs w:val="26"/>
        </w:rPr>
        <w:t xml:space="preserve">; </w:t>
      </w:r>
      <w:r w:rsidRPr="00BC6C3F">
        <w:rPr>
          <w:rFonts w:ascii="Times New Roman" w:hAnsi="Times New Roman"/>
          <w:spacing w:val="6"/>
          <w:sz w:val="26"/>
          <w:szCs w:val="26"/>
        </w:rPr>
        <w:t>presumiéndose la habitualidad de la vivienda en caso de empadronam</w:t>
      </w:r>
      <w:r w:rsidR="00637676" w:rsidRPr="00BC6C3F">
        <w:rPr>
          <w:rFonts w:ascii="Times New Roman" w:hAnsi="Times New Roman"/>
          <w:spacing w:val="6"/>
          <w:sz w:val="26"/>
          <w:szCs w:val="26"/>
        </w:rPr>
        <w:t>iento; y la convivencia en los</w:t>
      </w:r>
      <w:r w:rsidRPr="00BC6C3F">
        <w:rPr>
          <w:rFonts w:ascii="Times New Roman" w:hAnsi="Times New Roman"/>
          <w:spacing w:val="6"/>
          <w:sz w:val="26"/>
          <w:szCs w:val="26"/>
        </w:rPr>
        <w:t xml:space="preserve"> caso</w:t>
      </w:r>
      <w:r w:rsidR="00637676" w:rsidRPr="00BC6C3F">
        <w:rPr>
          <w:rFonts w:ascii="Times New Roman" w:hAnsi="Times New Roman"/>
          <w:spacing w:val="6"/>
          <w:sz w:val="26"/>
          <w:szCs w:val="26"/>
        </w:rPr>
        <w:t>s</w:t>
      </w:r>
      <w:r w:rsidRPr="00BC6C3F">
        <w:rPr>
          <w:rFonts w:ascii="Times New Roman" w:hAnsi="Times New Roman"/>
          <w:spacing w:val="6"/>
          <w:sz w:val="26"/>
          <w:szCs w:val="26"/>
        </w:rPr>
        <w:t xml:space="preserve"> del cónyuge</w:t>
      </w:r>
      <w:r w:rsidR="00637676" w:rsidRPr="00BC6C3F">
        <w:rPr>
          <w:rFonts w:ascii="Times New Roman" w:hAnsi="Times New Roman"/>
          <w:spacing w:val="6"/>
          <w:sz w:val="26"/>
          <w:szCs w:val="26"/>
        </w:rPr>
        <w:t xml:space="preserve"> no separado legalmente</w:t>
      </w:r>
      <w:r w:rsidRPr="00BC6C3F">
        <w:rPr>
          <w:rFonts w:ascii="Times New Roman" w:hAnsi="Times New Roman"/>
          <w:spacing w:val="6"/>
          <w:sz w:val="26"/>
          <w:szCs w:val="26"/>
        </w:rPr>
        <w:t xml:space="preserve"> y</w:t>
      </w:r>
      <w:r w:rsidR="00637676" w:rsidRPr="00BC6C3F">
        <w:rPr>
          <w:rFonts w:ascii="Times New Roman" w:hAnsi="Times New Roman"/>
          <w:spacing w:val="6"/>
          <w:sz w:val="26"/>
          <w:szCs w:val="26"/>
        </w:rPr>
        <w:t xml:space="preserve"> de</w:t>
      </w:r>
      <w:r w:rsidRPr="00BC6C3F">
        <w:rPr>
          <w:rFonts w:ascii="Times New Roman" w:hAnsi="Times New Roman"/>
          <w:spacing w:val="6"/>
          <w:sz w:val="26"/>
          <w:szCs w:val="26"/>
        </w:rPr>
        <w:t xml:space="preserve"> los descendientes menores</w:t>
      </w:r>
      <w:r w:rsidR="00637676" w:rsidRPr="00BC6C3F">
        <w:rPr>
          <w:rFonts w:ascii="Times New Roman" w:hAnsi="Times New Roman"/>
          <w:spacing w:val="6"/>
          <w:sz w:val="26"/>
          <w:szCs w:val="26"/>
        </w:rPr>
        <w:t>, y en los demás, en caso de empadronamiento en dicha vivienda.</w:t>
      </w:r>
    </w:p>
    <w:p w14:paraId="324FF140" w14:textId="77777777" w:rsidR="00396AF1" w:rsidRPr="00BC6C3F" w:rsidRDefault="00396AF1" w:rsidP="00C854F8">
      <w:pPr>
        <w:numPr>
          <w:ilvl w:val="1"/>
          <w:numId w:val="21"/>
        </w:numPr>
        <w:spacing w:line="280" w:lineRule="atLeast"/>
        <w:jc w:val="both"/>
        <w:rPr>
          <w:b/>
          <w:spacing w:val="6"/>
          <w:sz w:val="22"/>
          <w:szCs w:val="22"/>
        </w:rPr>
      </w:pPr>
      <w:r w:rsidRPr="00BC6C3F">
        <w:rPr>
          <w:rFonts w:ascii="Times New Roman" w:hAnsi="Times New Roman"/>
          <w:spacing w:val="6"/>
          <w:sz w:val="26"/>
          <w:szCs w:val="26"/>
        </w:rPr>
        <w:t>Añadir el siguiente apartado en las declaraciones fiscales relativas a la herencia:</w:t>
      </w:r>
    </w:p>
    <w:p w14:paraId="3FE6E1EB" w14:textId="77777777" w:rsidR="00396AF1" w:rsidRDefault="00C82453" w:rsidP="00BC6C3F">
      <w:pPr>
        <w:spacing w:line="280" w:lineRule="atLeast"/>
        <w:ind w:left="1512"/>
        <w:jc w:val="both"/>
        <w:rPr>
          <w:rFonts w:ascii="Times New Roman" w:hAnsi="Times New Roman"/>
          <w:spacing w:val="6"/>
          <w:sz w:val="26"/>
          <w:szCs w:val="26"/>
        </w:rPr>
      </w:pPr>
      <w:r>
        <w:rPr>
          <w:rFonts w:ascii="CG Times" w:hAnsi="CG Times"/>
          <w:sz w:val="26"/>
          <w:szCs w:val="26"/>
          <w:lang w:val="es-ES"/>
        </w:rPr>
        <w:t>“12º.- Que</w:t>
      </w:r>
      <w:r w:rsidR="008F3F66">
        <w:rPr>
          <w:rFonts w:ascii="CG Times" w:hAnsi="CG Times"/>
          <w:sz w:val="26"/>
          <w:szCs w:val="26"/>
          <w:lang w:val="es-ES"/>
        </w:rPr>
        <w:t xml:space="preserve"> en relación al bien descrito en el apartado *** de la Exposición, el o los adjudicatarios</w:t>
      </w:r>
      <w:r w:rsidR="00CA2594">
        <w:rPr>
          <w:rFonts w:ascii="CG Times" w:hAnsi="CG Times"/>
          <w:sz w:val="26"/>
          <w:szCs w:val="26"/>
          <w:lang w:val="es-ES"/>
        </w:rPr>
        <w:t xml:space="preserve"> ***</w:t>
      </w:r>
      <w:r w:rsidR="007E0A2C">
        <w:rPr>
          <w:rFonts w:ascii="CG Times" w:hAnsi="CG Times"/>
          <w:sz w:val="26"/>
          <w:szCs w:val="26"/>
          <w:lang w:val="es-ES"/>
        </w:rPr>
        <w:t>, en su calidad de ***</w:t>
      </w:r>
      <w:r w:rsidR="008F3F66">
        <w:rPr>
          <w:rFonts w:ascii="CG Times" w:hAnsi="CG Times"/>
          <w:sz w:val="26"/>
          <w:szCs w:val="26"/>
          <w:lang w:val="es-ES"/>
        </w:rPr>
        <w:t xml:space="preserve"> </w:t>
      </w:r>
      <w:r w:rsidR="007E0A2C" w:rsidRPr="007E0A2C">
        <w:rPr>
          <w:rFonts w:ascii="CG Times" w:hAnsi="CG Times"/>
          <w:sz w:val="26"/>
          <w:szCs w:val="26"/>
        </w:rPr>
        <w:t>cónyuge, descendiente o ascendiente</w:t>
      </w:r>
      <w:r w:rsidR="007E0A2C">
        <w:rPr>
          <w:rFonts w:ascii="CG Times" w:hAnsi="CG Times"/>
          <w:sz w:val="26"/>
          <w:szCs w:val="26"/>
        </w:rPr>
        <w:t>,</w:t>
      </w:r>
      <w:r w:rsidR="007E0A2C" w:rsidRPr="007E0A2C">
        <w:rPr>
          <w:rFonts w:ascii="CG Times" w:hAnsi="CG Times"/>
          <w:sz w:val="26"/>
          <w:szCs w:val="26"/>
        </w:rPr>
        <w:t xml:space="preserve"> </w:t>
      </w:r>
      <w:r w:rsidR="008F3F66">
        <w:rPr>
          <w:rFonts w:ascii="CG Times" w:hAnsi="CG Times"/>
          <w:sz w:val="26"/>
          <w:szCs w:val="26"/>
          <w:lang w:val="es-ES"/>
        </w:rPr>
        <w:t>se acoge</w:t>
      </w:r>
      <w:r w:rsidR="007E0A2C">
        <w:rPr>
          <w:rFonts w:ascii="CG Times" w:hAnsi="CG Times"/>
          <w:sz w:val="26"/>
          <w:szCs w:val="26"/>
          <w:lang w:val="es-ES"/>
        </w:rPr>
        <w:t>/</w:t>
      </w:r>
      <w:r w:rsidR="008F3F66">
        <w:rPr>
          <w:rFonts w:ascii="CG Times" w:hAnsi="CG Times"/>
          <w:sz w:val="26"/>
          <w:szCs w:val="26"/>
          <w:lang w:val="es-ES"/>
        </w:rPr>
        <w:t xml:space="preserve">n a la bonificación </w:t>
      </w:r>
      <w:r>
        <w:rPr>
          <w:rFonts w:ascii="CG Times" w:hAnsi="CG Times"/>
          <w:sz w:val="26"/>
          <w:szCs w:val="26"/>
          <w:lang w:val="es-ES"/>
        </w:rPr>
        <w:t xml:space="preserve">del </w:t>
      </w:r>
      <w:hyperlink r:id="rId357" w:history="1">
        <w:r w:rsidRPr="00DA7AB9">
          <w:rPr>
            <w:rStyle w:val="Hipervnculo"/>
            <w:rFonts w:ascii="Times New Roman" w:hAnsi="Times New Roman"/>
            <w:spacing w:val="6"/>
            <w:sz w:val="26"/>
            <w:szCs w:val="26"/>
          </w:rPr>
          <w:t>artículo 5 de la Ordenanza Fiscal del</w:t>
        </w:r>
        <w:r w:rsidR="00E56658" w:rsidRPr="00DA7AB9">
          <w:rPr>
            <w:rStyle w:val="Hipervnculo"/>
            <w:rFonts w:ascii="Times New Roman" w:hAnsi="Times New Roman"/>
            <w:spacing w:val="6"/>
            <w:sz w:val="26"/>
            <w:szCs w:val="26"/>
          </w:rPr>
          <w:t xml:space="preserve"> Ayuntamiento de Oviedo</w:t>
        </w:r>
        <w:r w:rsidRPr="00DA7AB9">
          <w:rPr>
            <w:rStyle w:val="Hipervnculo"/>
            <w:rFonts w:ascii="Times New Roman" w:hAnsi="Times New Roman"/>
            <w:spacing w:val="6"/>
            <w:sz w:val="26"/>
            <w:szCs w:val="26"/>
          </w:rPr>
          <w:t xml:space="preserve"> del Impuesto sobre Incremento de Valor de los Terrenos </w:t>
        </w:r>
        <w:r w:rsidR="00E56658" w:rsidRPr="00DA7AB9">
          <w:rPr>
            <w:rStyle w:val="Hipervnculo"/>
            <w:rFonts w:ascii="Times New Roman" w:hAnsi="Times New Roman"/>
            <w:spacing w:val="6"/>
            <w:sz w:val="26"/>
            <w:szCs w:val="26"/>
          </w:rPr>
          <w:t>de Naturaleza Urbana, número 404</w:t>
        </w:r>
        <w:r w:rsidRPr="00DA7AB9">
          <w:rPr>
            <w:rStyle w:val="Hipervnculo"/>
            <w:rFonts w:ascii="Times New Roman" w:hAnsi="Times New Roman"/>
            <w:spacing w:val="6"/>
            <w:sz w:val="26"/>
            <w:szCs w:val="26"/>
          </w:rPr>
          <w:t>, de 13 de diciembre de 1989, modificada por Acuerdo</w:t>
        </w:r>
        <w:r w:rsidR="008F3F66" w:rsidRPr="00DA7AB9">
          <w:rPr>
            <w:rStyle w:val="Hipervnculo"/>
            <w:rFonts w:ascii="Times New Roman" w:hAnsi="Times New Roman"/>
            <w:spacing w:val="6"/>
            <w:sz w:val="26"/>
            <w:szCs w:val="26"/>
          </w:rPr>
          <w:t xml:space="preserve"> de 22 de diciembre de 2016</w:t>
        </w:r>
      </w:hyperlink>
      <w:r w:rsidR="008F3F66">
        <w:rPr>
          <w:rFonts w:ascii="CG Times" w:hAnsi="CG Times"/>
          <w:sz w:val="26"/>
          <w:szCs w:val="26"/>
          <w:lang w:val="es-ES"/>
        </w:rPr>
        <w:t xml:space="preserve"> (</w:t>
      </w:r>
      <w:r w:rsidR="008F3F66">
        <w:rPr>
          <w:rFonts w:ascii="Times New Roman" w:hAnsi="Times New Roman"/>
          <w:spacing w:val="6"/>
          <w:sz w:val="26"/>
          <w:szCs w:val="26"/>
        </w:rPr>
        <w:t>95% cuando el valor catastral del suelo correspondiente al total de la vivienda, sin incluir garajes o trasteros, no supere los 46.000 €; 60% si supera los 46.000 € y no excede de 70.000 €) y declaran</w:t>
      </w:r>
      <w:r w:rsidR="00AE4A53">
        <w:rPr>
          <w:rFonts w:ascii="Times New Roman" w:hAnsi="Times New Roman"/>
          <w:spacing w:val="6"/>
          <w:sz w:val="26"/>
          <w:szCs w:val="26"/>
        </w:rPr>
        <w:t xml:space="preserve"> en relación al mismo</w:t>
      </w:r>
      <w:r w:rsidR="008F3F66">
        <w:rPr>
          <w:rFonts w:ascii="Times New Roman" w:hAnsi="Times New Roman"/>
          <w:spacing w:val="6"/>
          <w:sz w:val="26"/>
          <w:szCs w:val="26"/>
        </w:rPr>
        <w:t>:</w:t>
      </w:r>
    </w:p>
    <w:p w14:paraId="1775BAA8" w14:textId="77777777" w:rsidR="008F3F66" w:rsidRDefault="00AE4A53" w:rsidP="00BC6C3F">
      <w:pPr>
        <w:spacing w:line="280" w:lineRule="atLeast"/>
        <w:ind w:left="1512"/>
        <w:jc w:val="both"/>
        <w:rPr>
          <w:rFonts w:ascii="Times New Roman" w:hAnsi="Times New Roman"/>
          <w:spacing w:val="6"/>
          <w:sz w:val="26"/>
          <w:szCs w:val="26"/>
        </w:rPr>
      </w:pPr>
      <w:r>
        <w:rPr>
          <w:rFonts w:ascii="Times New Roman" w:hAnsi="Times New Roman"/>
          <w:spacing w:val="6"/>
          <w:sz w:val="26"/>
          <w:szCs w:val="26"/>
        </w:rPr>
        <w:lastRenderedPageBreak/>
        <w:t xml:space="preserve">- Que </w:t>
      </w:r>
      <w:r w:rsidR="008F3F66">
        <w:rPr>
          <w:rFonts w:ascii="Times New Roman" w:hAnsi="Times New Roman"/>
          <w:spacing w:val="6"/>
          <w:sz w:val="26"/>
          <w:szCs w:val="26"/>
        </w:rPr>
        <w:t>constituía la vivienda habitual del causante</w:t>
      </w:r>
      <w:r w:rsidR="00CA2594">
        <w:rPr>
          <w:rFonts w:ascii="Times New Roman" w:hAnsi="Times New Roman"/>
          <w:spacing w:val="6"/>
          <w:sz w:val="26"/>
          <w:szCs w:val="26"/>
        </w:rPr>
        <w:t xml:space="preserve"> y que el beneficiario o beneficiarios de la bonificación</w:t>
      </w:r>
      <w:r>
        <w:rPr>
          <w:rFonts w:ascii="Times New Roman" w:hAnsi="Times New Roman"/>
          <w:spacing w:val="6"/>
          <w:sz w:val="26"/>
          <w:szCs w:val="26"/>
        </w:rPr>
        <w:t xml:space="preserve"> habían convivido en ella con el causante durante el año anterior al fallecimiento.</w:t>
      </w:r>
    </w:p>
    <w:p w14:paraId="1A86810C" w14:textId="77777777" w:rsidR="00AE4A53" w:rsidRDefault="00CA2594" w:rsidP="00BC6C3F">
      <w:pPr>
        <w:spacing w:line="280" w:lineRule="atLeast"/>
        <w:ind w:left="1512"/>
        <w:jc w:val="both"/>
        <w:rPr>
          <w:rFonts w:ascii="Times New Roman" w:hAnsi="Times New Roman"/>
          <w:spacing w:val="6"/>
          <w:sz w:val="26"/>
          <w:szCs w:val="26"/>
          <w:lang w:val="es-ES"/>
        </w:rPr>
      </w:pPr>
      <w:r>
        <w:rPr>
          <w:rFonts w:ascii="Times New Roman" w:hAnsi="Times New Roman"/>
          <w:spacing w:val="6"/>
          <w:sz w:val="26"/>
          <w:szCs w:val="26"/>
        </w:rPr>
        <w:t>- Que el beneficiario o beneficiarios de la bonificación</w:t>
      </w:r>
      <w:r w:rsidR="00AE4A53">
        <w:rPr>
          <w:rFonts w:ascii="Times New Roman" w:hAnsi="Times New Roman"/>
          <w:spacing w:val="6"/>
          <w:sz w:val="26"/>
          <w:szCs w:val="26"/>
        </w:rPr>
        <w:t xml:space="preserve"> la van a destinar a su vivienda habitual durante los 3 años siguientes al fallecimiento del causante; y que si durante este período la vivienda perdiese este carácter, incluso por transmisión que no sea por causa de fallecimiento, </w:t>
      </w:r>
      <w:r w:rsidR="00AE4A53" w:rsidRPr="00AE4A53">
        <w:rPr>
          <w:rFonts w:ascii="Times New Roman" w:hAnsi="Times New Roman"/>
          <w:spacing w:val="6"/>
          <w:sz w:val="26"/>
          <w:szCs w:val="26"/>
          <w:lang w:val="es-ES"/>
        </w:rPr>
        <w:t>deberá presentar</w:t>
      </w:r>
      <w:r w:rsidR="00AE4A53">
        <w:rPr>
          <w:rFonts w:ascii="Times New Roman" w:hAnsi="Times New Roman"/>
          <w:spacing w:val="6"/>
          <w:sz w:val="26"/>
          <w:szCs w:val="26"/>
          <w:lang w:val="es-ES"/>
        </w:rPr>
        <w:t>se</w:t>
      </w:r>
      <w:r w:rsidR="00AE4A53" w:rsidRPr="00AE4A53">
        <w:rPr>
          <w:rFonts w:ascii="Times New Roman" w:hAnsi="Times New Roman"/>
          <w:spacing w:val="6"/>
          <w:sz w:val="26"/>
          <w:szCs w:val="26"/>
          <w:lang w:val="es-ES"/>
        </w:rPr>
        <w:t xml:space="preserve"> en la oficina liquidadora de este impuesto o en el Reg</w:t>
      </w:r>
      <w:r w:rsidR="00AE4A53">
        <w:rPr>
          <w:rFonts w:ascii="Times New Roman" w:hAnsi="Times New Roman"/>
          <w:spacing w:val="6"/>
          <w:sz w:val="26"/>
          <w:szCs w:val="26"/>
          <w:lang w:val="es-ES"/>
        </w:rPr>
        <w:t xml:space="preserve">istro General del Ayuntamiento, </w:t>
      </w:r>
      <w:r w:rsidR="00AE4A53" w:rsidRPr="00AE4A53">
        <w:rPr>
          <w:rFonts w:ascii="Times New Roman" w:hAnsi="Times New Roman"/>
          <w:spacing w:val="6"/>
          <w:sz w:val="26"/>
          <w:szCs w:val="26"/>
          <w:lang w:val="es-ES"/>
        </w:rPr>
        <w:t>dentro de los treinta días siguientes a aquél en que se produjo la enajenación, la correspondiente</w:t>
      </w:r>
      <w:r w:rsidR="00AE4A53">
        <w:rPr>
          <w:rFonts w:ascii="Times New Roman" w:hAnsi="Times New Roman"/>
          <w:spacing w:val="6"/>
          <w:sz w:val="26"/>
          <w:szCs w:val="26"/>
          <w:lang w:val="es-ES"/>
        </w:rPr>
        <w:t xml:space="preserve"> </w:t>
      </w:r>
      <w:r w:rsidR="00AE4A53" w:rsidRPr="00AE4A53">
        <w:rPr>
          <w:rFonts w:ascii="Times New Roman" w:hAnsi="Times New Roman"/>
          <w:spacing w:val="6"/>
          <w:sz w:val="26"/>
          <w:szCs w:val="26"/>
          <w:lang w:val="es-ES"/>
        </w:rPr>
        <w:t>declaración expresa de tal circunstancia, solicitando la práctica de la liquidación que corresponda para</w:t>
      </w:r>
      <w:r w:rsidR="00AE4A53">
        <w:rPr>
          <w:rFonts w:ascii="Times New Roman" w:hAnsi="Times New Roman"/>
          <w:spacing w:val="6"/>
          <w:sz w:val="26"/>
          <w:szCs w:val="26"/>
          <w:lang w:val="es-ES"/>
        </w:rPr>
        <w:t xml:space="preserve"> </w:t>
      </w:r>
      <w:r w:rsidR="00AE4A53" w:rsidRPr="00AE4A53">
        <w:rPr>
          <w:rFonts w:ascii="Times New Roman" w:hAnsi="Times New Roman"/>
          <w:spacing w:val="6"/>
          <w:sz w:val="26"/>
          <w:szCs w:val="26"/>
          <w:lang w:val="es-ES"/>
        </w:rPr>
        <w:t>el ingreso de la parte de la cuota objeto de bonificación, a la que se le</w:t>
      </w:r>
      <w:r w:rsidR="007E0A2C">
        <w:rPr>
          <w:rFonts w:ascii="Times New Roman" w:hAnsi="Times New Roman"/>
          <w:spacing w:val="6"/>
          <w:sz w:val="26"/>
          <w:szCs w:val="26"/>
          <w:lang w:val="es-ES"/>
        </w:rPr>
        <w:t xml:space="preserve"> aplicarán los correspondientes </w:t>
      </w:r>
      <w:r w:rsidR="00AE4A53" w:rsidRPr="00AE4A53">
        <w:rPr>
          <w:rFonts w:ascii="Times New Roman" w:hAnsi="Times New Roman"/>
          <w:spacing w:val="6"/>
          <w:sz w:val="26"/>
          <w:szCs w:val="26"/>
          <w:lang w:val="es-ES"/>
        </w:rPr>
        <w:t>intereses de demora</w:t>
      </w:r>
      <w:r w:rsidR="00AE4A53">
        <w:rPr>
          <w:rFonts w:ascii="Times New Roman" w:hAnsi="Times New Roman"/>
          <w:spacing w:val="6"/>
          <w:sz w:val="26"/>
          <w:szCs w:val="26"/>
          <w:lang w:val="es-ES"/>
        </w:rPr>
        <w:t>.</w:t>
      </w:r>
    </w:p>
    <w:p w14:paraId="35115DCF" w14:textId="77777777" w:rsidR="00880DEB" w:rsidRPr="00880DEB" w:rsidRDefault="00AE6157" w:rsidP="00BC6C3F">
      <w:pPr>
        <w:spacing w:line="280" w:lineRule="atLeast"/>
        <w:ind w:left="1512"/>
        <w:jc w:val="both"/>
        <w:rPr>
          <w:rFonts w:ascii="Times New Roman" w:hAnsi="Times New Roman"/>
          <w:spacing w:val="6"/>
          <w:sz w:val="26"/>
          <w:szCs w:val="26"/>
          <w:lang w:val="es-ES"/>
        </w:rPr>
      </w:pPr>
      <w:r>
        <w:rPr>
          <w:rFonts w:ascii="Times New Roman" w:hAnsi="Times New Roman"/>
          <w:spacing w:val="6"/>
          <w:sz w:val="26"/>
          <w:szCs w:val="26"/>
          <w:lang w:val="es-ES"/>
        </w:rPr>
        <w:t>A fin de acreditar las circunstancias que dan derecho a est</w:t>
      </w:r>
      <w:r w:rsidR="00CA2594">
        <w:rPr>
          <w:rFonts w:ascii="Times New Roman" w:hAnsi="Times New Roman"/>
          <w:spacing w:val="6"/>
          <w:sz w:val="26"/>
          <w:szCs w:val="26"/>
          <w:lang w:val="es-ES"/>
        </w:rPr>
        <w:t>a bonificación, el beneficiario o beneficiarios de la bonificación</w:t>
      </w:r>
      <w:r>
        <w:rPr>
          <w:rFonts w:ascii="Times New Roman" w:hAnsi="Times New Roman"/>
          <w:spacing w:val="6"/>
          <w:sz w:val="26"/>
          <w:szCs w:val="26"/>
          <w:lang w:val="es-ES"/>
        </w:rPr>
        <w:t xml:space="preserve"> manifiestan que tanto ellos como el causante estaban empadronados en dicha vivienda con la anterioridad necesaria</w:t>
      </w:r>
      <w:r w:rsidR="00880DEB">
        <w:rPr>
          <w:rFonts w:ascii="Times New Roman" w:hAnsi="Times New Roman"/>
          <w:spacing w:val="6"/>
          <w:sz w:val="26"/>
          <w:szCs w:val="26"/>
          <w:lang w:val="es-ES"/>
        </w:rPr>
        <w:t xml:space="preserve">, lo que les exime de presentar el correspondiente certificado por tratarse de datos y documentos </w:t>
      </w:r>
      <w:r w:rsidR="00880DEB" w:rsidRPr="00880DEB">
        <w:rPr>
          <w:rFonts w:ascii="Times New Roman" w:hAnsi="Times New Roman"/>
          <w:spacing w:val="6"/>
          <w:sz w:val="26"/>
          <w:szCs w:val="26"/>
          <w:lang w:val="es-ES"/>
        </w:rPr>
        <w:t>que ya se encuentren en poder de la Administraciones Pública</w:t>
      </w:r>
      <w:r w:rsidR="00321E97">
        <w:rPr>
          <w:rFonts w:ascii="Times New Roman" w:hAnsi="Times New Roman"/>
          <w:spacing w:val="6"/>
          <w:sz w:val="26"/>
          <w:szCs w:val="26"/>
          <w:lang w:val="es-ES"/>
        </w:rPr>
        <w:t xml:space="preserve"> actuante o que han sido ela</w:t>
      </w:r>
      <w:r w:rsidR="00880DEB">
        <w:rPr>
          <w:rFonts w:ascii="Times New Roman" w:hAnsi="Times New Roman"/>
          <w:spacing w:val="6"/>
          <w:sz w:val="26"/>
          <w:szCs w:val="26"/>
          <w:lang w:val="es-ES"/>
        </w:rPr>
        <w:t>borados por ésta (</w:t>
      </w:r>
      <w:hyperlink r:id="rId358" w:anchor="a53" w:history="1">
        <w:r w:rsidR="00880DEB" w:rsidRPr="00880DEB">
          <w:rPr>
            <w:rStyle w:val="Hipervnculo"/>
            <w:rFonts w:ascii="Times New Roman" w:hAnsi="Times New Roman"/>
            <w:spacing w:val="6"/>
            <w:sz w:val="26"/>
            <w:szCs w:val="26"/>
            <w:lang w:val="es-ES"/>
          </w:rPr>
          <w:t>art. 53-1-d de la Ley 39/2015 del Procedimiento Administrativo Común</w:t>
        </w:r>
      </w:hyperlink>
      <w:r w:rsidR="00880DEB">
        <w:rPr>
          <w:rFonts w:ascii="Times New Roman" w:hAnsi="Times New Roman"/>
          <w:spacing w:val="6"/>
          <w:sz w:val="26"/>
          <w:szCs w:val="26"/>
          <w:lang w:val="es-ES"/>
        </w:rPr>
        <w:t xml:space="preserve">), presumiéndose también tales circunstancias en el caso del cónyuge no separado </w:t>
      </w:r>
      <w:r w:rsidR="009A7FEE">
        <w:rPr>
          <w:rFonts w:ascii="Times New Roman" w:hAnsi="Times New Roman"/>
          <w:spacing w:val="6"/>
          <w:sz w:val="26"/>
          <w:szCs w:val="26"/>
          <w:lang w:val="es-ES"/>
        </w:rPr>
        <w:t>legalmente y de los descendiente</w:t>
      </w:r>
      <w:r w:rsidR="00880DEB">
        <w:rPr>
          <w:rFonts w:ascii="Times New Roman" w:hAnsi="Times New Roman"/>
          <w:spacing w:val="6"/>
          <w:sz w:val="26"/>
          <w:szCs w:val="26"/>
          <w:lang w:val="es-ES"/>
        </w:rPr>
        <w:t>s menores”.</w:t>
      </w:r>
    </w:p>
    <w:p w14:paraId="7648ADBB" w14:textId="77777777" w:rsidR="00BC6C3F" w:rsidRPr="00BC6C3F" w:rsidRDefault="00856CB3" w:rsidP="00C854F8">
      <w:pPr>
        <w:numPr>
          <w:ilvl w:val="1"/>
          <w:numId w:val="15"/>
        </w:numPr>
        <w:tabs>
          <w:tab w:val="clear" w:pos="792"/>
          <w:tab w:val="num" w:pos="432"/>
        </w:tabs>
        <w:spacing w:line="280" w:lineRule="atLeast"/>
        <w:jc w:val="both"/>
        <w:rPr>
          <w:rFonts w:ascii="Times New Roman" w:hAnsi="Times New Roman"/>
          <w:b/>
          <w:spacing w:val="6"/>
          <w:sz w:val="26"/>
          <w:szCs w:val="26"/>
        </w:rPr>
      </w:pPr>
      <w:bookmarkStart w:id="230" w:name="Gijón"/>
      <w:bookmarkEnd w:id="230"/>
      <w:r w:rsidRPr="008E7778">
        <w:rPr>
          <w:rFonts w:ascii="Times New Roman" w:hAnsi="Times New Roman"/>
          <w:b/>
          <w:spacing w:val="6"/>
          <w:sz w:val="26"/>
          <w:szCs w:val="26"/>
        </w:rPr>
        <w:t>Gijón</w:t>
      </w:r>
    </w:p>
    <w:p w14:paraId="5D3DCF79" w14:textId="77777777" w:rsidR="00BC6C3F" w:rsidRPr="00BC6C3F" w:rsidRDefault="00BC6C3F" w:rsidP="00C854F8">
      <w:pPr>
        <w:numPr>
          <w:ilvl w:val="2"/>
          <w:numId w:val="15"/>
        </w:numPr>
        <w:spacing w:line="280" w:lineRule="atLeast"/>
        <w:jc w:val="both"/>
        <w:rPr>
          <w:rFonts w:ascii="Times New Roman" w:hAnsi="Times New Roman"/>
          <w:b/>
          <w:spacing w:val="6"/>
          <w:sz w:val="26"/>
          <w:szCs w:val="26"/>
        </w:rPr>
      </w:pPr>
      <w:bookmarkStart w:id="231" w:name="normativa721"/>
      <w:bookmarkEnd w:id="231"/>
      <w:r w:rsidRPr="00BC6C3F">
        <w:rPr>
          <w:rFonts w:ascii="Times New Roman" w:hAnsi="Times New Roman"/>
          <w:b/>
          <w:spacing w:val="6"/>
          <w:sz w:val="26"/>
          <w:szCs w:val="26"/>
        </w:rPr>
        <w:t>Normativa</w:t>
      </w:r>
    </w:p>
    <w:p w14:paraId="274D4E91" w14:textId="77777777" w:rsidR="00D86782" w:rsidRPr="00437FE6" w:rsidRDefault="00D86782" w:rsidP="00D86782">
      <w:pPr>
        <w:spacing w:line="280" w:lineRule="atLeast"/>
        <w:ind w:left="1440"/>
        <w:jc w:val="both"/>
        <w:rPr>
          <w:spacing w:val="6"/>
          <w:sz w:val="26"/>
          <w:szCs w:val="26"/>
          <w:lang w:val="es-ES"/>
        </w:rPr>
      </w:pPr>
      <w:hyperlink r:id="rId359" w:history="1">
        <w:r w:rsidRPr="00023E5E">
          <w:rPr>
            <w:rStyle w:val="Hipervnculo"/>
            <w:b/>
            <w:spacing w:val="6"/>
            <w:sz w:val="26"/>
            <w:szCs w:val="26"/>
            <w:lang w:val="es-ES"/>
          </w:rPr>
          <w:t>Gijón</w:t>
        </w:r>
      </w:hyperlink>
      <w:r w:rsidRPr="00437FE6">
        <w:rPr>
          <w:spacing w:val="6"/>
          <w:sz w:val="26"/>
          <w:szCs w:val="26"/>
          <w:lang w:val="es-ES"/>
        </w:rPr>
        <w:t xml:space="preserve"> </w:t>
      </w:r>
      <w:r>
        <w:rPr>
          <w:spacing w:val="6"/>
          <w:sz w:val="26"/>
          <w:szCs w:val="26"/>
        </w:rPr>
        <w:t>(que no ha delegado</w:t>
      </w:r>
      <w:r w:rsidRPr="000F58BB">
        <w:rPr>
          <w:spacing w:val="6"/>
          <w:sz w:val="26"/>
          <w:szCs w:val="26"/>
        </w:rPr>
        <w:t xml:space="preserve"> la gestión) </w:t>
      </w:r>
      <w:r w:rsidRPr="00437FE6">
        <w:rPr>
          <w:spacing w:val="6"/>
          <w:sz w:val="26"/>
          <w:szCs w:val="26"/>
          <w:lang w:val="es-ES"/>
        </w:rPr>
        <w:t>sig</w:t>
      </w:r>
      <w:r>
        <w:rPr>
          <w:spacing w:val="6"/>
          <w:sz w:val="26"/>
          <w:szCs w:val="26"/>
          <w:lang w:val="es-ES"/>
        </w:rPr>
        <w:t>ue el sistema de declaración (hasta el 31/12/2016 era autoliquidación)</w:t>
      </w:r>
      <w:r w:rsidRPr="00437FE6">
        <w:rPr>
          <w:spacing w:val="6"/>
          <w:sz w:val="26"/>
          <w:szCs w:val="26"/>
          <w:lang w:val="es-ES"/>
        </w:rPr>
        <w:t>.</w:t>
      </w:r>
    </w:p>
    <w:p w14:paraId="5BCBE2F2" w14:textId="77777777" w:rsidR="00BC6C3F" w:rsidRDefault="00BC6C3F" w:rsidP="00D86782">
      <w:pPr>
        <w:spacing w:line="280" w:lineRule="atLeast"/>
        <w:ind w:left="1440"/>
        <w:jc w:val="both"/>
        <w:rPr>
          <w:rFonts w:ascii="Times New Roman" w:hAnsi="Times New Roman"/>
          <w:spacing w:val="6"/>
          <w:sz w:val="26"/>
          <w:szCs w:val="26"/>
        </w:rPr>
      </w:pPr>
      <w:r w:rsidRPr="00856CB3">
        <w:rPr>
          <w:rFonts w:ascii="Times New Roman" w:hAnsi="Times New Roman"/>
          <w:spacing w:val="6"/>
          <w:sz w:val="26"/>
          <w:szCs w:val="26"/>
        </w:rPr>
        <w:t xml:space="preserve">Se rige por la específica </w:t>
      </w:r>
      <w:hyperlink r:id="rId360" w:history="1">
        <w:r w:rsidRPr="00196415">
          <w:rPr>
            <w:rStyle w:val="Hipervnculo"/>
            <w:rFonts w:ascii="Times New Roman" w:hAnsi="Times New Roman"/>
            <w:spacing w:val="6"/>
            <w:sz w:val="26"/>
            <w:szCs w:val="26"/>
          </w:rPr>
          <w:t>Ordenanza Fiscal</w:t>
        </w:r>
        <w:r w:rsidR="002137AC" w:rsidRPr="00196415">
          <w:rPr>
            <w:rStyle w:val="Hipervnculo"/>
            <w:rFonts w:ascii="Times New Roman" w:hAnsi="Times New Roman"/>
            <w:spacing w:val="6"/>
            <w:sz w:val="26"/>
            <w:szCs w:val="26"/>
          </w:rPr>
          <w:t xml:space="preserve"> 1.03</w:t>
        </w:r>
        <w:r w:rsidRPr="00196415">
          <w:rPr>
            <w:rStyle w:val="Hipervnculo"/>
            <w:rFonts w:ascii="Times New Roman" w:hAnsi="Times New Roman"/>
            <w:spacing w:val="6"/>
            <w:sz w:val="26"/>
            <w:szCs w:val="26"/>
          </w:rPr>
          <w:t xml:space="preserve"> del Ayuntamiento de</w:t>
        </w:r>
        <w:r w:rsidR="002137AC" w:rsidRPr="00196415">
          <w:rPr>
            <w:rStyle w:val="Hipervnculo"/>
            <w:rFonts w:ascii="Times New Roman" w:hAnsi="Times New Roman"/>
            <w:spacing w:val="6"/>
            <w:sz w:val="26"/>
            <w:szCs w:val="26"/>
          </w:rPr>
          <w:t xml:space="preserve"> Gijón</w:t>
        </w:r>
        <w:r w:rsidRPr="00196415">
          <w:rPr>
            <w:rStyle w:val="Hipervnculo"/>
            <w:rFonts w:ascii="Times New Roman" w:hAnsi="Times New Roman"/>
            <w:spacing w:val="6"/>
            <w:sz w:val="26"/>
            <w:szCs w:val="26"/>
          </w:rPr>
          <w:t xml:space="preserve"> del Impuesto sobre Incremento de Valor de los Terrenos </w:t>
        </w:r>
        <w:r w:rsidR="002137AC" w:rsidRPr="00196415">
          <w:rPr>
            <w:rStyle w:val="Hipervnculo"/>
            <w:rFonts w:ascii="Times New Roman" w:hAnsi="Times New Roman"/>
            <w:spacing w:val="6"/>
            <w:sz w:val="26"/>
            <w:szCs w:val="26"/>
          </w:rPr>
          <w:t>de Naturaleza Urbana para el ejercicio 20</w:t>
        </w:r>
        <w:r w:rsidR="00196415" w:rsidRPr="00196415">
          <w:rPr>
            <w:rStyle w:val="Hipervnculo"/>
            <w:rFonts w:ascii="Times New Roman" w:hAnsi="Times New Roman"/>
            <w:spacing w:val="6"/>
            <w:sz w:val="26"/>
            <w:szCs w:val="26"/>
          </w:rPr>
          <w:t>20</w:t>
        </w:r>
      </w:hyperlink>
      <w:r w:rsidR="00196415">
        <w:rPr>
          <w:rFonts w:ascii="Times New Roman" w:hAnsi="Times New Roman"/>
          <w:spacing w:val="6"/>
          <w:sz w:val="26"/>
          <w:szCs w:val="26"/>
        </w:rPr>
        <w:t xml:space="preserve"> (página 69</w:t>
      </w:r>
      <w:r w:rsidR="002137AC">
        <w:rPr>
          <w:rFonts w:ascii="Times New Roman" w:hAnsi="Times New Roman"/>
          <w:spacing w:val="6"/>
          <w:sz w:val="26"/>
          <w:szCs w:val="26"/>
        </w:rPr>
        <w:t>). Son las últimas</w:t>
      </w:r>
      <w:r w:rsidR="00953FB0">
        <w:rPr>
          <w:rFonts w:ascii="Times New Roman" w:hAnsi="Times New Roman"/>
          <w:spacing w:val="6"/>
          <w:sz w:val="26"/>
          <w:szCs w:val="26"/>
        </w:rPr>
        <w:t xml:space="preserve"> </w:t>
      </w:r>
      <w:hyperlink r:id="rId361" w:history="1">
        <w:r w:rsidR="00953FB0" w:rsidRPr="00953FB0">
          <w:rPr>
            <w:rStyle w:val="Hipervnculo"/>
            <w:rFonts w:ascii="Times New Roman" w:hAnsi="Times New Roman"/>
            <w:spacing w:val="6"/>
            <w:sz w:val="26"/>
            <w:szCs w:val="26"/>
          </w:rPr>
          <w:t>ordenanzas</w:t>
        </w:r>
      </w:hyperlink>
      <w:r w:rsidR="002137AC">
        <w:rPr>
          <w:rFonts w:ascii="Times New Roman" w:hAnsi="Times New Roman"/>
          <w:spacing w:val="6"/>
          <w:sz w:val="26"/>
          <w:szCs w:val="26"/>
        </w:rPr>
        <w:t xml:space="preserve"> que publica la </w:t>
      </w:r>
      <w:hyperlink r:id="rId362" w:history="1">
        <w:r w:rsidR="002137AC" w:rsidRPr="00953FB0">
          <w:rPr>
            <w:rStyle w:val="Hipervnculo"/>
            <w:rFonts w:ascii="Times New Roman" w:hAnsi="Times New Roman"/>
            <w:spacing w:val="6"/>
            <w:sz w:val="26"/>
            <w:szCs w:val="26"/>
          </w:rPr>
          <w:t>sede electrónica del Ayuntamiento de Gijón</w:t>
        </w:r>
      </w:hyperlink>
      <w:r w:rsidR="002137AC">
        <w:rPr>
          <w:rFonts w:ascii="Times New Roman" w:hAnsi="Times New Roman"/>
          <w:spacing w:val="6"/>
          <w:sz w:val="26"/>
          <w:szCs w:val="26"/>
        </w:rPr>
        <w:t>.</w:t>
      </w:r>
    </w:p>
    <w:p w14:paraId="37CE48B0" w14:textId="77777777" w:rsidR="00FA4BC6" w:rsidRPr="00FA4BC6" w:rsidRDefault="00FA4BC6" w:rsidP="00D86782">
      <w:pPr>
        <w:spacing w:line="280" w:lineRule="atLeast"/>
        <w:ind w:left="1440"/>
        <w:jc w:val="both"/>
        <w:rPr>
          <w:rFonts w:ascii="Times New Roman" w:hAnsi="Times New Roman"/>
          <w:spacing w:val="6"/>
          <w:sz w:val="26"/>
          <w:szCs w:val="26"/>
        </w:rPr>
      </w:pPr>
      <w:r w:rsidRPr="00FA4BC6">
        <w:rPr>
          <w:rFonts w:ascii="Times New Roman" w:hAnsi="Times New Roman"/>
          <w:spacing w:val="6"/>
          <w:sz w:val="26"/>
          <w:szCs w:val="26"/>
        </w:rPr>
        <w:t xml:space="preserve">Destacar que el </w:t>
      </w:r>
      <w:hyperlink r:id="rId363" w:history="1">
        <w:r w:rsidRPr="00FA4BC6">
          <w:rPr>
            <w:rStyle w:val="Hipervnculo"/>
            <w:rFonts w:ascii="Times New Roman" w:hAnsi="Times New Roman"/>
            <w:spacing w:val="6"/>
            <w:sz w:val="26"/>
            <w:szCs w:val="26"/>
          </w:rPr>
          <w:t>art. 13</w:t>
        </w:r>
      </w:hyperlink>
      <w:r w:rsidRPr="00FA4BC6">
        <w:rPr>
          <w:rFonts w:ascii="Times New Roman" w:hAnsi="Times New Roman"/>
          <w:spacing w:val="6"/>
          <w:sz w:val="26"/>
          <w:szCs w:val="26"/>
        </w:rPr>
        <w:t xml:space="preserve"> prevé una bonificación en la cuota en las transmisiones mortis causa de la vivienda habitual, cuando el adjudicatario en pleno dominio, usufructo o nuda propiedad sea cónyuge</w:t>
      </w:r>
      <w:r w:rsidR="006F27CF">
        <w:rPr>
          <w:rFonts w:ascii="Times New Roman" w:hAnsi="Times New Roman"/>
          <w:spacing w:val="6"/>
          <w:sz w:val="26"/>
          <w:szCs w:val="26"/>
        </w:rPr>
        <w:t xml:space="preserve"> (o pareja de hecho inscrita en el Registro Municipal)</w:t>
      </w:r>
      <w:r w:rsidRPr="00FA4BC6">
        <w:rPr>
          <w:rFonts w:ascii="Times New Roman" w:hAnsi="Times New Roman"/>
          <w:spacing w:val="6"/>
          <w:sz w:val="26"/>
          <w:szCs w:val="26"/>
        </w:rPr>
        <w:t>, descendiente o ascendiente y hubiese conv</w:t>
      </w:r>
      <w:r>
        <w:rPr>
          <w:rFonts w:ascii="Times New Roman" w:hAnsi="Times New Roman"/>
          <w:spacing w:val="6"/>
          <w:sz w:val="26"/>
          <w:szCs w:val="26"/>
        </w:rPr>
        <w:t>ivido con el causante durante los 2</w:t>
      </w:r>
      <w:r w:rsidRPr="00FA4BC6">
        <w:rPr>
          <w:rFonts w:ascii="Times New Roman" w:hAnsi="Times New Roman"/>
          <w:spacing w:val="6"/>
          <w:sz w:val="26"/>
          <w:szCs w:val="26"/>
        </w:rPr>
        <w:t xml:space="preserve"> año</w:t>
      </w:r>
      <w:r w:rsidR="00115049">
        <w:rPr>
          <w:rFonts w:ascii="Times New Roman" w:hAnsi="Times New Roman"/>
          <w:spacing w:val="6"/>
          <w:sz w:val="26"/>
          <w:szCs w:val="26"/>
        </w:rPr>
        <w:t>s</w:t>
      </w:r>
      <w:r w:rsidRPr="00FA4BC6">
        <w:rPr>
          <w:rFonts w:ascii="Times New Roman" w:hAnsi="Times New Roman"/>
          <w:spacing w:val="6"/>
          <w:sz w:val="26"/>
          <w:szCs w:val="26"/>
        </w:rPr>
        <w:t xml:space="preserve"> anterior</w:t>
      </w:r>
      <w:r>
        <w:rPr>
          <w:rFonts w:ascii="Times New Roman" w:hAnsi="Times New Roman"/>
          <w:spacing w:val="6"/>
          <w:sz w:val="26"/>
          <w:szCs w:val="26"/>
        </w:rPr>
        <w:t>es</w:t>
      </w:r>
      <w:r w:rsidRPr="00FA4BC6">
        <w:rPr>
          <w:rFonts w:ascii="Times New Roman" w:hAnsi="Times New Roman"/>
          <w:spacing w:val="6"/>
          <w:sz w:val="26"/>
          <w:szCs w:val="26"/>
        </w:rPr>
        <w:t xml:space="preserve"> al fallecimiento y la destine </w:t>
      </w:r>
      <w:r>
        <w:rPr>
          <w:rFonts w:ascii="Times New Roman" w:hAnsi="Times New Roman"/>
          <w:spacing w:val="6"/>
          <w:sz w:val="26"/>
          <w:szCs w:val="26"/>
        </w:rPr>
        <w:t>a su vivienda habitual durante 2</w:t>
      </w:r>
      <w:r w:rsidRPr="00FA4BC6">
        <w:rPr>
          <w:rFonts w:ascii="Times New Roman" w:hAnsi="Times New Roman"/>
          <w:spacing w:val="6"/>
          <w:sz w:val="26"/>
          <w:szCs w:val="26"/>
        </w:rPr>
        <w:t xml:space="preserve"> años.</w:t>
      </w:r>
    </w:p>
    <w:p w14:paraId="7FC75B8E" w14:textId="77777777" w:rsidR="00FA4BC6" w:rsidRDefault="00FA4BC6" w:rsidP="00D86782">
      <w:pPr>
        <w:spacing w:line="280" w:lineRule="atLeast"/>
        <w:ind w:left="1440"/>
        <w:jc w:val="both"/>
        <w:rPr>
          <w:rFonts w:ascii="Times New Roman" w:hAnsi="Times New Roman"/>
          <w:spacing w:val="6"/>
          <w:sz w:val="26"/>
          <w:szCs w:val="26"/>
        </w:rPr>
      </w:pPr>
      <w:r w:rsidRPr="00FA4BC6">
        <w:rPr>
          <w:rFonts w:ascii="Times New Roman" w:hAnsi="Times New Roman"/>
          <w:spacing w:val="6"/>
          <w:sz w:val="26"/>
          <w:szCs w:val="26"/>
        </w:rPr>
        <w:t>La bonificación es del 95% cuando el valor catastral</w:t>
      </w:r>
      <w:r w:rsidR="00415C52">
        <w:rPr>
          <w:rFonts w:ascii="Times New Roman" w:hAnsi="Times New Roman"/>
          <w:spacing w:val="6"/>
          <w:sz w:val="26"/>
          <w:szCs w:val="26"/>
        </w:rPr>
        <w:t xml:space="preserve"> (aunque no lo dice expresame</w:t>
      </w:r>
      <w:r w:rsidR="00E9263B">
        <w:rPr>
          <w:rFonts w:ascii="Times New Roman" w:hAnsi="Times New Roman"/>
          <w:spacing w:val="6"/>
          <w:sz w:val="26"/>
          <w:szCs w:val="26"/>
        </w:rPr>
        <w:t>nte, se entiende que es el valor catastral del suelo)</w:t>
      </w:r>
      <w:r w:rsidRPr="00FA4BC6">
        <w:rPr>
          <w:rFonts w:ascii="Times New Roman" w:hAnsi="Times New Roman"/>
          <w:spacing w:val="6"/>
          <w:sz w:val="26"/>
          <w:szCs w:val="26"/>
        </w:rPr>
        <w:t xml:space="preserve"> </w:t>
      </w:r>
      <w:r w:rsidR="00E9263B">
        <w:rPr>
          <w:rFonts w:ascii="Times New Roman" w:hAnsi="Times New Roman"/>
          <w:spacing w:val="6"/>
          <w:sz w:val="26"/>
          <w:szCs w:val="26"/>
        </w:rPr>
        <w:t>no supere los 47.500 €; del 75% si supera los 47.500 € y no excede de 66</w:t>
      </w:r>
      <w:r w:rsidRPr="00FA4BC6">
        <w:rPr>
          <w:rFonts w:ascii="Times New Roman" w:hAnsi="Times New Roman"/>
          <w:spacing w:val="6"/>
          <w:sz w:val="26"/>
          <w:szCs w:val="26"/>
        </w:rPr>
        <w:t>.000 €; y</w:t>
      </w:r>
      <w:r w:rsidR="00E9263B">
        <w:rPr>
          <w:rFonts w:ascii="Times New Roman" w:hAnsi="Times New Roman"/>
          <w:spacing w:val="6"/>
          <w:sz w:val="26"/>
          <w:szCs w:val="26"/>
        </w:rPr>
        <w:t xml:space="preserve"> del 50% si supera los 66</w:t>
      </w:r>
      <w:r w:rsidRPr="00FA4BC6">
        <w:rPr>
          <w:rFonts w:ascii="Times New Roman" w:hAnsi="Times New Roman"/>
          <w:spacing w:val="6"/>
          <w:sz w:val="26"/>
          <w:szCs w:val="26"/>
        </w:rPr>
        <w:t>.000 €.</w:t>
      </w:r>
    </w:p>
    <w:p w14:paraId="1E104BB4" w14:textId="77777777" w:rsidR="00115049" w:rsidRPr="00115049" w:rsidRDefault="00115049" w:rsidP="00C854F8">
      <w:pPr>
        <w:numPr>
          <w:ilvl w:val="2"/>
          <w:numId w:val="15"/>
        </w:numPr>
        <w:spacing w:line="280" w:lineRule="atLeast"/>
        <w:jc w:val="both"/>
        <w:rPr>
          <w:rFonts w:ascii="Times New Roman" w:hAnsi="Times New Roman"/>
          <w:b/>
          <w:spacing w:val="6"/>
          <w:sz w:val="26"/>
          <w:szCs w:val="26"/>
        </w:rPr>
      </w:pPr>
      <w:bookmarkStart w:id="232" w:name="tratamiento722"/>
      <w:bookmarkStart w:id="233" w:name="_Hlk239955984"/>
      <w:bookmarkEnd w:id="232"/>
      <w:r w:rsidRPr="00115049">
        <w:rPr>
          <w:rFonts w:ascii="Times New Roman" w:hAnsi="Times New Roman"/>
          <w:b/>
          <w:spacing w:val="6"/>
          <w:sz w:val="26"/>
          <w:szCs w:val="26"/>
        </w:rPr>
        <w:lastRenderedPageBreak/>
        <w:t>Tratamiento notarial</w:t>
      </w:r>
    </w:p>
    <w:bookmarkEnd w:id="233"/>
    <w:p w14:paraId="7234E844" w14:textId="77777777" w:rsidR="00115049" w:rsidRPr="00E345B9" w:rsidRDefault="00115049" w:rsidP="00C854F8">
      <w:pPr>
        <w:numPr>
          <w:ilvl w:val="0"/>
          <w:numId w:val="30"/>
        </w:numPr>
        <w:spacing w:line="280" w:lineRule="atLeast"/>
        <w:ind w:left="1418"/>
        <w:jc w:val="both"/>
        <w:rPr>
          <w:rFonts w:ascii="Times New Roman" w:hAnsi="Times New Roman"/>
          <w:b/>
          <w:spacing w:val="6"/>
          <w:sz w:val="26"/>
          <w:szCs w:val="26"/>
        </w:rPr>
      </w:pPr>
      <w:r w:rsidRPr="00115049">
        <w:rPr>
          <w:rFonts w:ascii="Times New Roman" w:hAnsi="Times New Roman"/>
          <w:spacing w:val="6"/>
          <w:sz w:val="26"/>
          <w:szCs w:val="26"/>
        </w:rPr>
        <w:t>Se trata (el del</w:t>
      </w:r>
      <w:r>
        <w:rPr>
          <w:rFonts w:ascii="Times New Roman" w:hAnsi="Times New Roman"/>
          <w:spacing w:val="6"/>
          <w:sz w:val="26"/>
          <w:szCs w:val="26"/>
        </w:rPr>
        <w:t xml:space="preserve"> </w:t>
      </w:r>
      <w:hyperlink r:id="rId364" w:history="1">
        <w:r w:rsidR="008B7FF8" w:rsidRPr="008B7FF8">
          <w:rPr>
            <w:rStyle w:val="Hipervnculo"/>
            <w:rFonts w:ascii="Times New Roman" w:hAnsi="Times New Roman"/>
            <w:spacing w:val="6"/>
            <w:sz w:val="26"/>
            <w:szCs w:val="26"/>
          </w:rPr>
          <w:t>art. 13</w:t>
        </w:r>
      </w:hyperlink>
      <w:r w:rsidR="008B7FF8">
        <w:rPr>
          <w:rFonts w:ascii="Times New Roman" w:hAnsi="Times New Roman"/>
          <w:spacing w:val="6"/>
          <w:sz w:val="26"/>
          <w:szCs w:val="26"/>
        </w:rPr>
        <w:t xml:space="preserve"> </w:t>
      </w:r>
      <w:r w:rsidRPr="00115049">
        <w:rPr>
          <w:rFonts w:ascii="Times New Roman" w:hAnsi="Times New Roman"/>
          <w:spacing w:val="6"/>
          <w:sz w:val="26"/>
          <w:szCs w:val="26"/>
        </w:rPr>
        <w:t>para la transmisión mortis causa de la vivienda habitual) de un beneficio rogado.</w:t>
      </w:r>
    </w:p>
    <w:p w14:paraId="72BF7B86" w14:textId="77777777" w:rsidR="00115049" w:rsidRPr="00E345B9" w:rsidRDefault="00115049" w:rsidP="00C854F8">
      <w:pPr>
        <w:numPr>
          <w:ilvl w:val="0"/>
          <w:numId w:val="30"/>
        </w:numPr>
        <w:spacing w:line="280" w:lineRule="atLeast"/>
        <w:ind w:left="1418"/>
        <w:jc w:val="both"/>
        <w:rPr>
          <w:rFonts w:ascii="Times New Roman" w:hAnsi="Times New Roman"/>
          <w:b/>
          <w:spacing w:val="6"/>
          <w:sz w:val="26"/>
          <w:szCs w:val="26"/>
        </w:rPr>
      </w:pPr>
      <w:r w:rsidRPr="00E345B9">
        <w:rPr>
          <w:rFonts w:ascii="Times New Roman" w:hAnsi="Times New Roman"/>
          <w:spacing w:val="6"/>
          <w:sz w:val="26"/>
          <w:szCs w:val="26"/>
        </w:rPr>
        <w:t>Añadir el siguiente apartado en las declaraciones fiscales relativas a la herencia:</w:t>
      </w:r>
    </w:p>
    <w:p w14:paraId="36F2C994" w14:textId="77777777" w:rsidR="00115049" w:rsidRPr="00115049" w:rsidRDefault="00115049" w:rsidP="00115049">
      <w:pPr>
        <w:spacing w:line="280" w:lineRule="atLeast"/>
        <w:ind w:left="1512"/>
        <w:jc w:val="both"/>
        <w:rPr>
          <w:rFonts w:ascii="Times New Roman" w:hAnsi="Times New Roman"/>
          <w:spacing w:val="6"/>
          <w:sz w:val="26"/>
          <w:szCs w:val="26"/>
        </w:rPr>
      </w:pPr>
      <w:r w:rsidRPr="00115049">
        <w:rPr>
          <w:rFonts w:ascii="Times New Roman" w:hAnsi="Times New Roman"/>
          <w:spacing w:val="6"/>
          <w:sz w:val="26"/>
          <w:szCs w:val="26"/>
          <w:lang w:val="es-ES"/>
        </w:rPr>
        <w:t xml:space="preserve">“12º.- Que en relación al bien descrito en el apartado *** de la Exposición, el o los adjudicatarios ***, en su calidad de *** </w:t>
      </w:r>
      <w:r w:rsidRPr="00115049">
        <w:rPr>
          <w:rFonts w:ascii="Times New Roman" w:hAnsi="Times New Roman"/>
          <w:spacing w:val="6"/>
          <w:sz w:val="26"/>
          <w:szCs w:val="26"/>
        </w:rPr>
        <w:t xml:space="preserve">cónyuge, descendiente o ascendiente, </w:t>
      </w:r>
      <w:r w:rsidRPr="00115049">
        <w:rPr>
          <w:rFonts w:ascii="Times New Roman" w:hAnsi="Times New Roman"/>
          <w:spacing w:val="6"/>
          <w:sz w:val="26"/>
          <w:szCs w:val="26"/>
          <w:lang w:val="es-ES"/>
        </w:rPr>
        <w:t xml:space="preserve">se acoge/n a la bonificación del </w:t>
      </w:r>
      <w:hyperlink r:id="rId365" w:history="1">
        <w:r w:rsidR="008B7FF8" w:rsidRPr="008B7FF8">
          <w:rPr>
            <w:rStyle w:val="Hipervnculo"/>
            <w:rFonts w:ascii="Times New Roman" w:hAnsi="Times New Roman"/>
            <w:spacing w:val="6"/>
            <w:sz w:val="26"/>
            <w:szCs w:val="26"/>
          </w:rPr>
          <w:t>artículo 13</w:t>
        </w:r>
        <w:r w:rsidRPr="008B7FF8">
          <w:rPr>
            <w:rStyle w:val="Hipervnculo"/>
            <w:rFonts w:ascii="Times New Roman" w:hAnsi="Times New Roman"/>
            <w:spacing w:val="6"/>
            <w:sz w:val="26"/>
            <w:szCs w:val="26"/>
          </w:rPr>
          <w:t xml:space="preserve"> de la Ordenanza Fiscal del</w:t>
        </w:r>
        <w:r w:rsidR="008B7FF8" w:rsidRPr="008B7FF8">
          <w:rPr>
            <w:rStyle w:val="Hipervnculo"/>
            <w:rFonts w:ascii="Times New Roman" w:hAnsi="Times New Roman"/>
            <w:spacing w:val="6"/>
            <w:sz w:val="26"/>
            <w:szCs w:val="26"/>
          </w:rPr>
          <w:t xml:space="preserve"> Ayuntamiento de Gijón</w:t>
        </w:r>
        <w:r w:rsidRPr="008B7FF8">
          <w:rPr>
            <w:rStyle w:val="Hipervnculo"/>
            <w:rFonts w:ascii="Times New Roman" w:hAnsi="Times New Roman"/>
            <w:spacing w:val="6"/>
            <w:sz w:val="26"/>
            <w:szCs w:val="26"/>
          </w:rPr>
          <w:t xml:space="preserve"> del Impuesto sobre Incremento de Valor de los Terrenos </w:t>
        </w:r>
        <w:r w:rsidR="008B7FF8" w:rsidRPr="008B7FF8">
          <w:rPr>
            <w:rStyle w:val="Hipervnculo"/>
            <w:rFonts w:ascii="Times New Roman" w:hAnsi="Times New Roman"/>
            <w:spacing w:val="6"/>
            <w:sz w:val="26"/>
            <w:szCs w:val="26"/>
          </w:rPr>
          <w:t>de Naturaleza Urbana</w:t>
        </w:r>
      </w:hyperlink>
      <w:r w:rsidRPr="00115049">
        <w:rPr>
          <w:rFonts w:ascii="Times New Roman" w:hAnsi="Times New Roman"/>
          <w:spacing w:val="6"/>
          <w:sz w:val="26"/>
          <w:szCs w:val="26"/>
          <w:lang w:val="es-ES"/>
        </w:rPr>
        <w:t xml:space="preserve"> (</w:t>
      </w:r>
      <w:r w:rsidRPr="00115049">
        <w:rPr>
          <w:rFonts w:ascii="Times New Roman" w:hAnsi="Times New Roman"/>
          <w:spacing w:val="6"/>
          <w:sz w:val="26"/>
          <w:szCs w:val="26"/>
        </w:rPr>
        <w:t xml:space="preserve">95% cuando el valor catastral del suelo </w:t>
      </w:r>
      <w:r w:rsidR="008B7FF8" w:rsidRPr="008B7FF8">
        <w:rPr>
          <w:rFonts w:ascii="Times New Roman" w:hAnsi="Times New Roman"/>
          <w:spacing w:val="6"/>
          <w:sz w:val="26"/>
          <w:szCs w:val="26"/>
        </w:rPr>
        <w:t>no supere los 47.500 €; del 75% si supera los 47.500 € y no excede de 66.000 €; y del 50% si supera los 66.000 €</w:t>
      </w:r>
      <w:r w:rsidRPr="00115049">
        <w:rPr>
          <w:rFonts w:ascii="Times New Roman" w:hAnsi="Times New Roman"/>
          <w:spacing w:val="6"/>
          <w:sz w:val="26"/>
          <w:szCs w:val="26"/>
        </w:rPr>
        <w:t>) y declaran en relación al mismo:</w:t>
      </w:r>
    </w:p>
    <w:p w14:paraId="1B2BFD06" w14:textId="77777777" w:rsidR="00115049" w:rsidRPr="00115049" w:rsidRDefault="00115049" w:rsidP="00115049">
      <w:pPr>
        <w:spacing w:line="280" w:lineRule="atLeast"/>
        <w:ind w:left="1512"/>
        <w:jc w:val="both"/>
        <w:rPr>
          <w:rFonts w:ascii="Times New Roman" w:hAnsi="Times New Roman"/>
          <w:spacing w:val="6"/>
          <w:sz w:val="26"/>
          <w:szCs w:val="26"/>
        </w:rPr>
      </w:pPr>
      <w:r w:rsidRPr="00115049">
        <w:rPr>
          <w:rFonts w:ascii="Times New Roman" w:hAnsi="Times New Roman"/>
          <w:spacing w:val="6"/>
          <w:sz w:val="26"/>
          <w:szCs w:val="26"/>
        </w:rPr>
        <w:t>- Que constituía la vivienda habitual del causante y que el beneficiario o beneficiarios de la bonificación habían convivido en</w:t>
      </w:r>
      <w:r w:rsidR="008B7FF8">
        <w:rPr>
          <w:rFonts w:ascii="Times New Roman" w:hAnsi="Times New Roman"/>
          <w:spacing w:val="6"/>
          <w:sz w:val="26"/>
          <w:szCs w:val="26"/>
        </w:rPr>
        <w:t xml:space="preserve"> ella con el causante durante los 2</w:t>
      </w:r>
      <w:r w:rsidRPr="00115049">
        <w:rPr>
          <w:rFonts w:ascii="Times New Roman" w:hAnsi="Times New Roman"/>
          <w:spacing w:val="6"/>
          <w:sz w:val="26"/>
          <w:szCs w:val="26"/>
        </w:rPr>
        <w:t xml:space="preserve"> año</w:t>
      </w:r>
      <w:r w:rsidR="008B7FF8">
        <w:rPr>
          <w:rFonts w:ascii="Times New Roman" w:hAnsi="Times New Roman"/>
          <w:spacing w:val="6"/>
          <w:sz w:val="26"/>
          <w:szCs w:val="26"/>
        </w:rPr>
        <w:t>s</w:t>
      </w:r>
      <w:r w:rsidRPr="00115049">
        <w:rPr>
          <w:rFonts w:ascii="Times New Roman" w:hAnsi="Times New Roman"/>
          <w:spacing w:val="6"/>
          <w:sz w:val="26"/>
          <w:szCs w:val="26"/>
        </w:rPr>
        <w:t xml:space="preserve"> anterior</w:t>
      </w:r>
      <w:r w:rsidR="008B7FF8">
        <w:rPr>
          <w:rFonts w:ascii="Times New Roman" w:hAnsi="Times New Roman"/>
          <w:spacing w:val="6"/>
          <w:sz w:val="26"/>
          <w:szCs w:val="26"/>
        </w:rPr>
        <w:t xml:space="preserve">es </w:t>
      </w:r>
      <w:r w:rsidRPr="00115049">
        <w:rPr>
          <w:rFonts w:ascii="Times New Roman" w:hAnsi="Times New Roman"/>
          <w:spacing w:val="6"/>
          <w:sz w:val="26"/>
          <w:szCs w:val="26"/>
        </w:rPr>
        <w:t>al fallecimiento.</w:t>
      </w:r>
    </w:p>
    <w:p w14:paraId="019682E2" w14:textId="77777777" w:rsidR="00115049" w:rsidRPr="00115049" w:rsidRDefault="00115049" w:rsidP="00115049">
      <w:pPr>
        <w:spacing w:line="280" w:lineRule="atLeast"/>
        <w:ind w:left="1512"/>
        <w:jc w:val="both"/>
        <w:rPr>
          <w:rFonts w:ascii="Times New Roman" w:hAnsi="Times New Roman"/>
          <w:spacing w:val="6"/>
          <w:sz w:val="26"/>
          <w:szCs w:val="26"/>
          <w:lang w:val="es-ES"/>
        </w:rPr>
      </w:pPr>
      <w:r w:rsidRPr="00115049">
        <w:rPr>
          <w:rFonts w:ascii="Times New Roman" w:hAnsi="Times New Roman"/>
          <w:spacing w:val="6"/>
          <w:sz w:val="26"/>
          <w:szCs w:val="26"/>
        </w:rPr>
        <w:t>- Que el beneficiario o beneficiarios de la bonificación la van a destinar a su</w:t>
      </w:r>
      <w:r w:rsidR="008B7FF8">
        <w:rPr>
          <w:rFonts w:ascii="Times New Roman" w:hAnsi="Times New Roman"/>
          <w:spacing w:val="6"/>
          <w:sz w:val="26"/>
          <w:szCs w:val="26"/>
        </w:rPr>
        <w:t xml:space="preserve"> vivienda habitual durante los 2</w:t>
      </w:r>
      <w:r w:rsidRPr="00115049">
        <w:rPr>
          <w:rFonts w:ascii="Times New Roman" w:hAnsi="Times New Roman"/>
          <w:spacing w:val="6"/>
          <w:sz w:val="26"/>
          <w:szCs w:val="26"/>
        </w:rPr>
        <w:t xml:space="preserve"> años siguientes al fal</w:t>
      </w:r>
      <w:r w:rsidR="008B7FF8">
        <w:rPr>
          <w:rFonts w:ascii="Times New Roman" w:hAnsi="Times New Roman"/>
          <w:spacing w:val="6"/>
          <w:sz w:val="26"/>
          <w:szCs w:val="26"/>
        </w:rPr>
        <w:t>lecimiento del causante</w:t>
      </w:r>
      <w:r w:rsidRPr="00115049">
        <w:rPr>
          <w:rFonts w:ascii="Times New Roman" w:hAnsi="Times New Roman"/>
          <w:spacing w:val="6"/>
          <w:sz w:val="26"/>
          <w:szCs w:val="26"/>
          <w:lang w:val="es-ES"/>
        </w:rPr>
        <w:t>”.</w:t>
      </w:r>
    </w:p>
    <w:p w14:paraId="0627D852" w14:textId="3BB5647D" w:rsidR="001360FB" w:rsidRDefault="001360FB">
      <w:pPr>
        <w:overflowPunct/>
        <w:autoSpaceDE/>
        <w:autoSpaceDN/>
        <w:adjustRightInd/>
        <w:textAlignment w:val="auto"/>
        <w:rPr>
          <w:rFonts w:ascii="Times New Roman" w:hAnsi="Times New Roman"/>
          <w:spacing w:val="6"/>
          <w:sz w:val="26"/>
          <w:szCs w:val="26"/>
        </w:rPr>
      </w:pPr>
      <w:r>
        <w:rPr>
          <w:rFonts w:ascii="Times New Roman" w:hAnsi="Times New Roman"/>
          <w:spacing w:val="6"/>
          <w:sz w:val="26"/>
          <w:szCs w:val="26"/>
        </w:rPr>
        <w:br w:type="page"/>
      </w:r>
    </w:p>
    <w:p w14:paraId="70744E4B" w14:textId="6AFEBFCA" w:rsidR="001360FB" w:rsidRPr="00115049" w:rsidRDefault="00FC5A84" w:rsidP="001360FB">
      <w:pPr>
        <w:numPr>
          <w:ilvl w:val="0"/>
          <w:numId w:val="15"/>
        </w:numPr>
        <w:spacing w:line="280" w:lineRule="atLeast"/>
        <w:jc w:val="both"/>
        <w:rPr>
          <w:rFonts w:ascii="Times New Roman" w:hAnsi="Times New Roman"/>
          <w:b/>
          <w:spacing w:val="6"/>
          <w:sz w:val="26"/>
          <w:szCs w:val="26"/>
        </w:rPr>
      </w:pPr>
      <w:bookmarkStart w:id="234" w:name="IBI"/>
      <w:bookmarkEnd w:id="234"/>
      <w:r>
        <w:rPr>
          <w:rFonts w:ascii="Times New Roman" w:hAnsi="Times New Roman"/>
          <w:b/>
          <w:spacing w:val="6"/>
          <w:sz w:val="26"/>
          <w:szCs w:val="26"/>
        </w:rPr>
        <w:lastRenderedPageBreak/>
        <w:t>CONSULTA NOTARIAL I.B.I. D</w:t>
      </w:r>
      <w:r w:rsidR="001360FB">
        <w:rPr>
          <w:rFonts w:ascii="Times New Roman" w:hAnsi="Times New Roman"/>
          <w:b/>
          <w:spacing w:val="6"/>
          <w:sz w:val="26"/>
          <w:szCs w:val="26"/>
        </w:rPr>
        <w:t>E OVIEDO</w:t>
      </w:r>
    </w:p>
    <w:p w14:paraId="38DCF085" w14:textId="3CA36E3C" w:rsidR="00115049" w:rsidRDefault="001360FB" w:rsidP="001360FB">
      <w:pPr>
        <w:spacing w:line="280" w:lineRule="atLeast"/>
        <w:ind w:left="360"/>
        <w:jc w:val="both"/>
        <w:rPr>
          <w:rFonts w:ascii="Times New Roman" w:hAnsi="Times New Roman"/>
          <w:spacing w:val="6"/>
          <w:sz w:val="26"/>
          <w:szCs w:val="26"/>
        </w:rPr>
      </w:pPr>
      <w:r>
        <w:rPr>
          <w:rFonts w:ascii="Times New Roman" w:hAnsi="Times New Roman"/>
          <w:spacing w:val="6"/>
          <w:sz w:val="26"/>
          <w:szCs w:val="26"/>
        </w:rPr>
        <w:t xml:space="preserve">Hasta agosto de 2026 la consulta notarial de estar al corriente del Impuesto sobre Bienes Inmuebles se hacía al Ayuntamiento de Oviedo a través del email </w:t>
      </w:r>
      <w:hyperlink r:id="rId366" w:history="1">
        <w:r w:rsidR="001D38EC" w:rsidRPr="00D05DA5">
          <w:rPr>
            <w:rStyle w:val="Hipervnculo"/>
            <w:rFonts w:ascii="Times New Roman" w:hAnsi="Times New Roman"/>
            <w:spacing w:val="6"/>
            <w:sz w:val="26"/>
            <w:szCs w:val="26"/>
          </w:rPr>
          <w:t>certificados@oviedo.es</w:t>
        </w:r>
      </w:hyperlink>
      <w:r>
        <w:rPr>
          <w:rFonts w:ascii="Times New Roman" w:hAnsi="Times New Roman"/>
          <w:spacing w:val="6"/>
          <w:sz w:val="26"/>
          <w:szCs w:val="26"/>
        </w:rPr>
        <w:t>.</w:t>
      </w:r>
    </w:p>
    <w:p w14:paraId="4E35E6BD" w14:textId="4FD90970" w:rsidR="001360FB" w:rsidRDefault="001360FB" w:rsidP="001360FB">
      <w:pPr>
        <w:spacing w:line="280" w:lineRule="atLeast"/>
        <w:ind w:left="360"/>
        <w:jc w:val="both"/>
        <w:rPr>
          <w:rFonts w:ascii="Times New Roman" w:hAnsi="Times New Roman"/>
          <w:spacing w:val="6"/>
          <w:sz w:val="26"/>
          <w:szCs w:val="26"/>
        </w:rPr>
      </w:pPr>
      <w:r>
        <w:rPr>
          <w:rFonts w:ascii="Times New Roman" w:hAnsi="Times New Roman"/>
          <w:spacing w:val="6"/>
          <w:sz w:val="26"/>
          <w:szCs w:val="26"/>
        </w:rPr>
        <w:t>Desde septiembre de 2026 la consulta notarial de estar al corriente del Impuesto sobre Bienes Inmuebles se hace al Ayuntamiento de Oviedo a través de la web</w:t>
      </w:r>
      <w:r w:rsidR="00FC5A84">
        <w:rPr>
          <w:rFonts w:ascii="Times New Roman" w:hAnsi="Times New Roman"/>
          <w:spacing w:val="6"/>
          <w:sz w:val="26"/>
          <w:szCs w:val="26"/>
        </w:rPr>
        <w:t xml:space="preserve"> </w:t>
      </w:r>
      <w:hyperlink r:id="rId367" w:history="1">
        <w:r w:rsidR="00FC5A84" w:rsidRPr="0051730B">
          <w:rPr>
            <w:rStyle w:val="Hipervnculo"/>
            <w:rFonts w:ascii="Times New Roman" w:hAnsi="Times New Roman"/>
            <w:b/>
            <w:spacing w:val="6"/>
            <w:sz w:val="26"/>
            <w:szCs w:val="26"/>
          </w:rPr>
          <w:t>https://ww</w:t>
        </w:r>
        <w:r w:rsidR="00FC5A84" w:rsidRPr="0051730B">
          <w:rPr>
            <w:rStyle w:val="Hipervnculo"/>
            <w:rFonts w:ascii="Times New Roman" w:hAnsi="Times New Roman"/>
            <w:b/>
            <w:spacing w:val="6"/>
            <w:sz w:val="26"/>
            <w:szCs w:val="26"/>
          </w:rPr>
          <w:t>w</w:t>
        </w:r>
        <w:r w:rsidR="00FC5A84" w:rsidRPr="0051730B">
          <w:rPr>
            <w:rStyle w:val="Hipervnculo"/>
            <w:rFonts w:ascii="Times New Roman" w:hAnsi="Times New Roman"/>
            <w:b/>
            <w:spacing w:val="6"/>
            <w:sz w:val="26"/>
            <w:szCs w:val="26"/>
          </w:rPr>
          <w:t>.oviedo.es/web/notarios</w:t>
        </w:r>
      </w:hyperlink>
      <w:r w:rsidR="00FC5A84">
        <w:rPr>
          <w:rFonts w:ascii="Times New Roman" w:hAnsi="Times New Roman"/>
          <w:spacing w:val="6"/>
          <w:sz w:val="26"/>
          <w:szCs w:val="26"/>
        </w:rPr>
        <w:t xml:space="preserve"> (y </w:t>
      </w:r>
      <w:r w:rsidR="0051730B">
        <w:rPr>
          <w:rFonts w:ascii="Times New Roman" w:hAnsi="Times New Roman"/>
          <w:spacing w:val="6"/>
          <w:sz w:val="26"/>
          <w:szCs w:val="26"/>
        </w:rPr>
        <w:t>para las</w:t>
      </w:r>
      <w:r w:rsidR="00FC5A84">
        <w:rPr>
          <w:rFonts w:ascii="Times New Roman" w:hAnsi="Times New Roman"/>
          <w:spacing w:val="6"/>
          <w:sz w:val="26"/>
          <w:szCs w:val="26"/>
        </w:rPr>
        <w:t xml:space="preserve"> incidencia</w:t>
      </w:r>
      <w:r w:rsidR="0051730B">
        <w:rPr>
          <w:rFonts w:ascii="Times New Roman" w:hAnsi="Times New Roman"/>
          <w:spacing w:val="6"/>
          <w:sz w:val="26"/>
          <w:szCs w:val="26"/>
        </w:rPr>
        <w:t>s</w:t>
      </w:r>
      <w:r w:rsidR="00FC5A84">
        <w:rPr>
          <w:rFonts w:ascii="Times New Roman" w:hAnsi="Times New Roman"/>
          <w:spacing w:val="6"/>
          <w:sz w:val="26"/>
          <w:szCs w:val="26"/>
        </w:rPr>
        <w:t xml:space="preserve"> puede contactarse en </w:t>
      </w:r>
      <w:hyperlink r:id="rId368" w:history="1">
        <w:r w:rsidR="00FC5A84" w:rsidRPr="00D05DA5">
          <w:rPr>
            <w:rStyle w:val="Hipervnculo"/>
            <w:rFonts w:ascii="Times New Roman" w:hAnsi="Times New Roman"/>
            <w:spacing w:val="6"/>
            <w:sz w:val="26"/>
            <w:szCs w:val="26"/>
          </w:rPr>
          <w:t>certificados@oviedo.es</w:t>
        </w:r>
      </w:hyperlink>
      <w:r w:rsidR="00FC5A84">
        <w:rPr>
          <w:rFonts w:ascii="Times New Roman" w:hAnsi="Times New Roman"/>
          <w:spacing w:val="6"/>
          <w:sz w:val="26"/>
          <w:szCs w:val="26"/>
        </w:rPr>
        <w:t xml:space="preserve">, en cuyo caso remitirán el certificado a la dirección de correo habitual). </w:t>
      </w:r>
    </w:p>
    <w:p w14:paraId="7631C529" w14:textId="04E1CEBC" w:rsidR="001360FB" w:rsidRPr="00FA4BC6" w:rsidRDefault="001360FB" w:rsidP="001360FB">
      <w:pPr>
        <w:spacing w:line="280" w:lineRule="atLeast"/>
        <w:ind w:left="360"/>
        <w:jc w:val="both"/>
        <w:rPr>
          <w:rFonts w:ascii="Times New Roman" w:hAnsi="Times New Roman"/>
          <w:spacing w:val="6"/>
          <w:sz w:val="26"/>
          <w:szCs w:val="26"/>
        </w:rPr>
      </w:pPr>
    </w:p>
    <w:p w14:paraId="41A26874" w14:textId="77777777" w:rsidR="00FA4BC6" w:rsidRPr="00856CB3" w:rsidRDefault="00FA4BC6" w:rsidP="00856CB3">
      <w:pPr>
        <w:spacing w:line="280" w:lineRule="atLeast"/>
        <w:ind w:left="1224"/>
        <w:jc w:val="both"/>
        <w:rPr>
          <w:rFonts w:ascii="Times New Roman" w:hAnsi="Times New Roman"/>
          <w:spacing w:val="6"/>
          <w:sz w:val="26"/>
          <w:szCs w:val="26"/>
        </w:rPr>
      </w:pPr>
    </w:p>
    <w:p w14:paraId="0E8E04FD" w14:textId="77777777" w:rsidR="00EE1145" w:rsidRPr="00856CB3" w:rsidRDefault="00EE1145" w:rsidP="00856CB3">
      <w:pPr>
        <w:spacing w:line="280" w:lineRule="atLeast"/>
        <w:ind w:left="1224"/>
        <w:jc w:val="both"/>
        <w:rPr>
          <w:rFonts w:ascii="Times New Roman" w:hAnsi="Times New Roman"/>
          <w:color w:val="000000"/>
          <w:sz w:val="26"/>
          <w:szCs w:val="26"/>
        </w:rPr>
      </w:pPr>
      <w:r w:rsidRPr="00856CB3">
        <w:rPr>
          <w:rFonts w:ascii="Times New Roman" w:hAnsi="Times New Roman"/>
          <w:color w:val="000000"/>
          <w:spacing w:val="6"/>
          <w:sz w:val="26"/>
          <w:szCs w:val="26"/>
        </w:rPr>
        <w:br w:type="page"/>
      </w:r>
    </w:p>
    <w:sectPr w:rsidR="00EE1145" w:rsidRPr="00856CB3" w:rsidSect="00A05B0A">
      <w:headerReference w:type="even" r:id="rId369"/>
      <w:headerReference w:type="default" r:id="rId370"/>
      <w:footnotePr>
        <w:pos w:val="beneathText"/>
      </w:footnotePr>
      <w:endnotePr>
        <w:numFmt w:val="decimal"/>
      </w:endnotePr>
      <w:pgSz w:w="11907" w:h="16840"/>
      <w:pgMar w:top="1441" w:right="1559" w:bottom="1441" w:left="17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AED11" w14:textId="77777777" w:rsidR="00CA6031" w:rsidRDefault="00CA6031">
      <w:r>
        <w:separator/>
      </w:r>
    </w:p>
  </w:endnote>
  <w:endnote w:type="continuationSeparator" w:id="0">
    <w:p w14:paraId="6367A1D6" w14:textId="77777777" w:rsidR="00CA6031" w:rsidRDefault="00CA6031">
      <w:r>
        <w:continuationSeparator/>
      </w:r>
    </w:p>
  </w:endnote>
  <w:endnote w:id="1">
    <w:p w14:paraId="5E40FBD9" w14:textId="77777777" w:rsidR="00C7604F" w:rsidRDefault="00C7604F" w:rsidP="00BF0533">
      <w:pPr>
        <w:pStyle w:val="Textonotaalfinal"/>
        <w:spacing w:line="200" w:lineRule="exact"/>
        <w:jc w:val="both"/>
        <w:rPr>
          <w:rFonts w:ascii="Times New Roman" w:hAnsi="Times New Roman"/>
        </w:rPr>
      </w:pPr>
      <w:r>
        <w:rPr>
          <w:rStyle w:val="Refdenotaalfinal"/>
          <w:rFonts w:ascii="Times New Roman" w:hAnsi="Times New Roman"/>
        </w:rPr>
        <w:endnoteRef/>
      </w:r>
      <w:r>
        <w:rPr>
          <w:rFonts w:ascii="Times New Roman" w:hAnsi="Times New Roman"/>
        </w:rPr>
        <w:t xml:space="preserve"> Y sin aceptar ninguna responsabilidad por las acciones o inacciones de quienes actúen o dejen de actuar en función de alguna información contenida u omitida en esta publicación.</w:t>
      </w:r>
    </w:p>
    <w:p w14:paraId="7E0AAAD1" w14:textId="77777777" w:rsidR="00C7604F" w:rsidRDefault="00C7604F" w:rsidP="00BF0533">
      <w:pPr>
        <w:pStyle w:val="Textonotaalfinal"/>
        <w:spacing w:line="200" w:lineRule="exact"/>
        <w:jc w:val="both"/>
        <w:rPr>
          <w:rFonts w:ascii="Times New Roman" w:hAnsi="Times New Roman"/>
        </w:rPr>
      </w:pPr>
    </w:p>
  </w:endnote>
  <w:endnote w:id="2">
    <w:p w14:paraId="7A47FED8" w14:textId="77777777" w:rsidR="00C7604F" w:rsidRDefault="00C7604F" w:rsidP="00BF0533">
      <w:pPr>
        <w:pStyle w:val="Textonotaalfinal"/>
        <w:spacing w:line="200" w:lineRule="exact"/>
      </w:pPr>
      <w:r>
        <w:rPr>
          <w:rStyle w:val="Refdenotaalfinal"/>
        </w:rPr>
        <w:endnoteRef/>
      </w:r>
      <w:r>
        <w:t xml:space="preserve"> Para Castilla-La Mancha.</w:t>
      </w:r>
    </w:p>
    <w:p w14:paraId="3708AC77" w14:textId="77777777" w:rsidR="00C7604F" w:rsidRDefault="00C7604F" w:rsidP="00BF0533">
      <w:pPr>
        <w:pStyle w:val="Textonotaalfinal"/>
        <w:spacing w:line="200" w:lineRule="exact"/>
      </w:pPr>
    </w:p>
  </w:endnote>
  <w:endnote w:id="3">
    <w:p w14:paraId="62CD1EC8" w14:textId="77777777" w:rsidR="00C7604F" w:rsidRDefault="00C7604F" w:rsidP="00BF0533">
      <w:pPr>
        <w:pStyle w:val="Textonotaalfinal"/>
        <w:spacing w:line="200" w:lineRule="exact"/>
        <w:jc w:val="both"/>
      </w:pPr>
      <w:r>
        <w:rPr>
          <w:rStyle w:val="Refdenotaalfinal"/>
        </w:rPr>
        <w:endnoteRef/>
      </w:r>
      <w:r>
        <w:t xml:space="preserve"> Para Cataluña.</w:t>
      </w:r>
    </w:p>
    <w:p w14:paraId="7222B86B" w14:textId="77777777" w:rsidR="00C7604F" w:rsidRDefault="00C7604F" w:rsidP="00BF0533">
      <w:pPr>
        <w:pStyle w:val="Textonotaalfinal"/>
        <w:spacing w:line="200" w:lineRule="exact"/>
        <w:jc w:val="both"/>
      </w:pPr>
    </w:p>
  </w:endnote>
  <w:endnote w:id="4">
    <w:p w14:paraId="3909D1F0" w14:textId="77777777" w:rsidR="00C7604F" w:rsidRPr="00D1655D" w:rsidRDefault="00C7604F" w:rsidP="00BF0533">
      <w:pPr>
        <w:pStyle w:val="Textonotaalfinal"/>
        <w:spacing w:line="200" w:lineRule="exact"/>
        <w:jc w:val="both"/>
        <w:rPr>
          <w:lang w:val="es-ES"/>
        </w:rPr>
      </w:pPr>
      <w:r>
        <w:rPr>
          <w:rStyle w:val="Refdenotaalfinal"/>
        </w:rPr>
        <w:endnoteRef/>
      </w:r>
      <w:r>
        <w:t xml:space="preserve"> </w:t>
      </w:r>
      <w:r>
        <w:rPr>
          <w:lang w:val="es-ES"/>
        </w:rPr>
        <w:t>L</w:t>
      </w:r>
      <w:r w:rsidRPr="00D1655D">
        <w:rPr>
          <w:lang w:val="es-ES"/>
        </w:rPr>
        <w:t xml:space="preserve">a </w:t>
      </w:r>
      <w:hyperlink r:id="rId1" w:history="1">
        <w:r w:rsidRPr="00D1655D">
          <w:rPr>
            <w:rStyle w:val="Hipervnculo"/>
            <w:lang w:val="es-ES"/>
          </w:rPr>
          <w:t>Resolución DGT de 30 de mayo de 2019</w:t>
        </w:r>
      </w:hyperlink>
      <w:r w:rsidRPr="00D1655D">
        <w:rPr>
          <w:lang w:val="es-ES"/>
        </w:rPr>
        <w:t xml:space="preserve"> (V1219-19)</w:t>
      </w:r>
      <w:r>
        <w:rPr>
          <w:lang w:val="es-ES"/>
        </w:rPr>
        <w:t>, en relación a Andalucía, llega a las siguientes conclusiones: “</w:t>
      </w:r>
      <w:r w:rsidRPr="00D1655D">
        <w:rPr>
          <w:i/>
          <w:lang w:val="es-ES"/>
        </w:rPr>
        <w:t>... Primera: La base imponible de la transmisión de un bien inmueble será el valor real de dicho inmueble que no tiene por qué coincidir con el precio fijado por las partes en la compraventa. Segunda: El concepto de “valor real” es un concepto jurídico indeterminado y se asimila al valor normal de mercado. Tercera: La Administración tributaria puede acudir a los medios de la comprobación de valores para la corrección del valor declarado por el obligado tributario, a su vez este puede acudir a la tasación pericial contradictoria para contradecir el valor calculado por la Administración tributaria competente. Cuarta: En aplicación de la normativa estatal, el obligado tributario podrá utilizar los valores publicados por la Administración tributaria competente en aplicación de los medios de comprobación de valores, que tendrán carácter vinculante para la misma...</w:t>
      </w:r>
      <w:r>
        <w:rPr>
          <w:lang w:val="es-ES"/>
        </w:rPr>
        <w:t>”.</w:t>
      </w:r>
    </w:p>
    <w:p w14:paraId="48C7C1C6" w14:textId="77777777" w:rsidR="00C7604F" w:rsidRPr="00D1655D" w:rsidRDefault="00C7604F" w:rsidP="00BF0533">
      <w:pPr>
        <w:pStyle w:val="Textonotaalfinal"/>
        <w:spacing w:line="200" w:lineRule="exact"/>
        <w:jc w:val="both"/>
        <w:rPr>
          <w:lang w:val="es-ES"/>
        </w:rPr>
      </w:pPr>
    </w:p>
  </w:endnote>
  <w:endnote w:id="5">
    <w:p w14:paraId="32619DC0" w14:textId="77777777" w:rsidR="00C7604F" w:rsidRDefault="00C7604F" w:rsidP="00B6472E">
      <w:pPr>
        <w:pStyle w:val="Textonotaalfinal"/>
      </w:pPr>
      <w:r>
        <w:rPr>
          <w:rStyle w:val="Refdenotaalfinal"/>
        </w:rPr>
        <w:endnoteRef/>
      </w:r>
      <w:r>
        <w:t xml:space="preserve"> Para Aragón.</w:t>
      </w:r>
    </w:p>
    <w:p w14:paraId="65ED99E7" w14:textId="77777777" w:rsidR="00C7604F" w:rsidRDefault="00C7604F" w:rsidP="00B6472E">
      <w:pPr>
        <w:pStyle w:val="Textonotaalfinal"/>
      </w:pPr>
    </w:p>
  </w:endnote>
  <w:endnote w:id="6">
    <w:p w14:paraId="673613E0" w14:textId="77777777" w:rsidR="00C7604F" w:rsidRPr="00B8528C" w:rsidRDefault="00C7604F" w:rsidP="00BF0533">
      <w:pPr>
        <w:tabs>
          <w:tab w:val="left" w:pos="900"/>
        </w:tabs>
        <w:overflowPunct/>
        <w:autoSpaceDE/>
        <w:autoSpaceDN/>
        <w:adjustRightInd/>
        <w:spacing w:line="200" w:lineRule="exact"/>
        <w:jc w:val="both"/>
        <w:textAlignment w:val="auto"/>
        <w:rPr>
          <w:rFonts w:ascii="Times New Roman" w:hAnsi="Times New Roman"/>
          <w:bCs/>
          <w:i/>
          <w:lang w:val="es-ES"/>
        </w:rPr>
      </w:pPr>
      <w:r w:rsidRPr="00B8528C">
        <w:rPr>
          <w:rStyle w:val="Refdenotaalfinal"/>
          <w:rFonts w:ascii="Times New Roman" w:hAnsi="Times New Roman"/>
        </w:rPr>
        <w:endnoteRef/>
      </w:r>
      <w:r w:rsidRPr="00B8528C">
        <w:rPr>
          <w:rFonts w:ascii="Times New Roman" w:hAnsi="Times New Roman"/>
        </w:rPr>
        <w:t xml:space="preserve"> </w:t>
      </w:r>
      <w:r w:rsidRPr="00B8528C">
        <w:rPr>
          <w:rFonts w:ascii="Times New Roman" w:hAnsi="Times New Roman"/>
          <w:lang w:val="es-ES"/>
        </w:rPr>
        <w:t>M</w:t>
      </w:r>
      <w:r w:rsidRPr="00B8528C">
        <w:rPr>
          <w:rFonts w:ascii="Times New Roman" w:hAnsi="Times New Roman"/>
          <w:sz w:val="16"/>
          <w:szCs w:val="16"/>
          <w:lang w:val="es-ES"/>
        </w:rPr>
        <w:t>ARTORELL</w:t>
      </w:r>
      <w:r w:rsidRPr="00B8528C">
        <w:rPr>
          <w:rFonts w:ascii="Times New Roman" w:hAnsi="Times New Roman"/>
          <w:lang w:val="es-ES"/>
        </w:rPr>
        <w:t xml:space="preserve"> G</w:t>
      </w:r>
      <w:r w:rsidRPr="00B8528C">
        <w:rPr>
          <w:rFonts w:ascii="Times New Roman" w:hAnsi="Times New Roman"/>
          <w:sz w:val="16"/>
          <w:szCs w:val="16"/>
          <w:lang w:val="es-ES"/>
        </w:rPr>
        <w:t>ARCÍA</w:t>
      </w:r>
      <w:r w:rsidRPr="00B8528C">
        <w:rPr>
          <w:rFonts w:ascii="Times New Roman" w:hAnsi="Times New Roman"/>
          <w:lang w:val="es-ES"/>
        </w:rPr>
        <w:t xml:space="preserve">, Vicente. </w:t>
      </w:r>
      <w:hyperlink r:id="rId2" w:history="1">
        <w:r w:rsidRPr="00B8528C">
          <w:rPr>
            <w:rFonts w:ascii="Times New Roman" w:hAnsi="Times New Roman"/>
            <w:bCs/>
            <w:i/>
            <w:color w:val="0000FF"/>
            <w:u w:val="single"/>
            <w:lang w:val="es-ES"/>
          </w:rPr>
          <w:t>Apuntes de urgencia sobre el &lt;&lt;Impuesto hipotecario&gt;&gt;</w:t>
        </w:r>
      </w:hyperlink>
      <w:r w:rsidRPr="00B8528C">
        <w:rPr>
          <w:rFonts w:ascii="Times New Roman" w:hAnsi="Times New Roman"/>
        </w:rPr>
        <w:t xml:space="preserve">, </w:t>
      </w:r>
      <w:hyperlink r:id="rId3" w:history="1">
        <w:r w:rsidRPr="00B8528C">
          <w:rPr>
            <w:rFonts w:ascii="Times New Roman" w:hAnsi="Times New Roman"/>
            <w:color w:val="0000FF"/>
            <w:u w:val="single"/>
            <w:lang w:val="es-ES"/>
          </w:rPr>
          <w:t>www.notariosyregistradores.com</w:t>
        </w:r>
      </w:hyperlink>
      <w:r w:rsidRPr="00B8528C">
        <w:rPr>
          <w:rFonts w:ascii="Times New Roman" w:hAnsi="Times New Roman"/>
          <w:lang w:val="es-ES"/>
        </w:rPr>
        <w:t>, noviembre 2018.</w:t>
      </w:r>
    </w:p>
    <w:p w14:paraId="20A553DD" w14:textId="77777777" w:rsidR="00C7604F" w:rsidRPr="00B8528C" w:rsidRDefault="00C7604F" w:rsidP="00BF0533">
      <w:pPr>
        <w:pStyle w:val="Textonotaalfinal"/>
        <w:spacing w:line="200" w:lineRule="exact"/>
        <w:jc w:val="both"/>
        <w:rPr>
          <w:rFonts w:ascii="Times New Roman" w:hAnsi="Times New Roman"/>
        </w:rPr>
      </w:pPr>
    </w:p>
  </w:endnote>
  <w:endnote w:id="7">
    <w:p w14:paraId="018F16D0" w14:textId="77777777" w:rsidR="00C7604F" w:rsidRDefault="00C7604F" w:rsidP="000A1BBA">
      <w:pPr>
        <w:pStyle w:val="Textonotaalfinal"/>
        <w:spacing w:line="200" w:lineRule="exact"/>
        <w:jc w:val="both"/>
        <w:rPr>
          <w:rFonts w:ascii="Times New Roman" w:hAnsi="Times New Roman"/>
        </w:rPr>
      </w:pPr>
      <w:r>
        <w:rPr>
          <w:rStyle w:val="Refdenotaalfinal"/>
          <w:rFonts w:ascii="Times New Roman" w:hAnsi="Times New Roman"/>
        </w:rPr>
        <w:endnoteRef/>
      </w:r>
      <w:r>
        <w:rPr>
          <w:rFonts w:ascii="Times New Roman" w:hAnsi="Times New Roman"/>
        </w:rPr>
        <w:t xml:space="preserve"> Que deberá configurarse como tal en el SIC/Aplicaciones/Datos personales del notario y empleados. No será necesario disponer de tal cuenta para liquidar actos exentos.</w:t>
      </w:r>
    </w:p>
    <w:p w14:paraId="696ACEA6" w14:textId="77777777" w:rsidR="00C7604F" w:rsidRDefault="00C7604F" w:rsidP="000A1BBA">
      <w:pPr>
        <w:pStyle w:val="Textonotaalfinal"/>
        <w:spacing w:line="200" w:lineRule="exact"/>
        <w:jc w:val="both"/>
        <w:rPr>
          <w:rFonts w:ascii="Times New Roman" w:hAnsi="Times New Roman"/>
          <w:lang w:val="es-ES"/>
        </w:rPr>
      </w:pPr>
    </w:p>
  </w:endnote>
  <w:endnote w:id="8">
    <w:p w14:paraId="4186B323" w14:textId="77777777" w:rsidR="00C7604F" w:rsidRPr="000A1BBA" w:rsidRDefault="00C7604F" w:rsidP="000A1BBA">
      <w:pPr>
        <w:pStyle w:val="Textonotaalfinal"/>
        <w:spacing w:line="200" w:lineRule="exact"/>
        <w:jc w:val="both"/>
        <w:rPr>
          <w:lang w:val="es-ES"/>
        </w:rPr>
      </w:pPr>
      <w:r>
        <w:rPr>
          <w:rStyle w:val="Refdenotaalfinal"/>
        </w:rPr>
        <w:endnoteRef/>
      </w:r>
      <w:r>
        <w:t xml:space="preserve"> “</w:t>
      </w:r>
      <w:r w:rsidRPr="000A1BBA">
        <w:rPr>
          <w:i/>
        </w:rPr>
        <w:t xml:space="preserve">... </w:t>
      </w:r>
      <w:r w:rsidRPr="000A1BBA">
        <w:rPr>
          <w:i/>
          <w:lang w:val="es-ES"/>
        </w:rPr>
        <w:t>Le indicamos que no es necesario que nos remita los modelos tributarios 650+660, 653, 652, 654, 651+661 ya que al hacer la presentación telemática ya nos figuran en nuestro sistema...</w:t>
      </w:r>
      <w:r>
        <w:rPr>
          <w:lang w:val="es-ES"/>
        </w:rPr>
        <w:t>”.</w:t>
      </w:r>
    </w:p>
    <w:p w14:paraId="67931C2E" w14:textId="77777777" w:rsidR="00C7604F" w:rsidRDefault="00C7604F" w:rsidP="000A1BBA">
      <w:pPr>
        <w:pStyle w:val="Textonotaalfinal"/>
        <w:spacing w:line="200" w:lineRule="exact"/>
        <w:jc w:val="both"/>
      </w:pPr>
    </w:p>
  </w:endnote>
  <w:endnote w:id="9">
    <w:p w14:paraId="11AD0215" w14:textId="77777777" w:rsidR="00C7604F" w:rsidRDefault="00C7604F" w:rsidP="000A1BBA">
      <w:pPr>
        <w:pStyle w:val="Textonotaalfinal"/>
        <w:spacing w:line="200" w:lineRule="exact"/>
        <w:jc w:val="both"/>
      </w:pPr>
      <w:r>
        <w:rPr>
          <w:rStyle w:val="Refdenotaalfinal"/>
        </w:rPr>
        <w:endnoteRef/>
      </w:r>
      <w:r>
        <w:t xml:space="preserve"> </w:t>
      </w:r>
      <w:hyperlink r:id="rId4" w:anchor="a52" w:history="1">
        <w:r>
          <w:rPr>
            <w:rStyle w:val="Hipervnculo"/>
            <w:lang w:val="es-ES"/>
          </w:rPr>
          <w:t>Art. 52-2 del Decreto-legislativo asturiano 2/2014</w:t>
        </w:r>
      </w:hyperlink>
      <w:r>
        <w:t>: “</w:t>
      </w:r>
      <w:r>
        <w:rPr>
          <w:i/>
        </w:rPr>
        <w:t>… Los notarios con destino en el Principado de Asturias, con el fin de facilitar el cumplimiento de las obligaciones tributarias de los obligados tributarios y el acceso telemático de documentos a los registros públicos, remitirán al Ente Público de Servicios Tributarios del Principado de Asturias, por vía telemática, en colaboración con el Consejo General del Notariado, una declaración informativa notarial de los elementos básicos de las escrituras por ellos autorizadas, así como la copia electrónica de las mismas de conformidad con lo dispuesto en la legislación notarial, relativa a los hechos imponibles que el organismo competente determine…</w:t>
      </w:r>
      <w:r>
        <w:t>”.</w:t>
      </w:r>
    </w:p>
    <w:p w14:paraId="35358C4A" w14:textId="77777777" w:rsidR="00C7604F" w:rsidRDefault="00C7604F" w:rsidP="00BF0533">
      <w:pPr>
        <w:pStyle w:val="Textonotaalfinal"/>
        <w:spacing w:line="200" w:lineRule="exact"/>
        <w:rPr>
          <w:lang w:val="es-ES"/>
        </w:rPr>
      </w:pPr>
    </w:p>
  </w:endnote>
  <w:endnote w:id="10">
    <w:p w14:paraId="3FE33A16" w14:textId="15421EC1" w:rsidR="00210DF3" w:rsidRDefault="00210DF3" w:rsidP="00210DF3">
      <w:pPr>
        <w:pStyle w:val="Textonotaalfinal"/>
        <w:spacing w:line="200" w:lineRule="exact"/>
        <w:jc w:val="both"/>
        <w:rPr>
          <w:rFonts w:ascii="Times New Roman" w:hAnsi="Times New Roman"/>
        </w:rPr>
      </w:pPr>
      <w:r>
        <w:rPr>
          <w:rStyle w:val="Refdenotaalfinal"/>
        </w:rPr>
        <w:endnoteRef/>
      </w:r>
      <w:r>
        <w:t xml:space="preserve"> </w:t>
      </w:r>
      <w:r>
        <w:rPr>
          <w:rFonts w:ascii="Times New Roman" w:hAnsi="Times New Roman"/>
        </w:rPr>
        <w:t xml:space="preserve">Dicha Ficha Notarial (que rige, por ejemplo en Galicia) es distinta de la Ficha </w:t>
      </w:r>
      <w:r w:rsidR="00B11604">
        <w:rPr>
          <w:rFonts w:ascii="Times New Roman" w:hAnsi="Times New Roman"/>
        </w:rPr>
        <w:t>R</w:t>
      </w:r>
      <w:r>
        <w:rPr>
          <w:rFonts w:ascii="Times New Roman" w:hAnsi="Times New Roman"/>
        </w:rPr>
        <w:t xml:space="preserve">esumen, pues la Ficha </w:t>
      </w:r>
      <w:r w:rsidR="00B11604">
        <w:rPr>
          <w:rFonts w:ascii="Times New Roman" w:hAnsi="Times New Roman"/>
        </w:rPr>
        <w:t>N</w:t>
      </w:r>
      <w:r>
        <w:rPr>
          <w:rFonts w:ascii="Times New Roman" w:hAnsi="Times New Roman"/>
        </w:rPr>
        <w:t>otarial es más completa y eximiría de la remisión de copia simple electrónica, aunque en la práctica se sigue enviando. Cumple, pues, la Ficha Notarial una doble función: de control por la Administración</w:t>
      </w:r>
      <w:r w:rsidR="00B11604">
        <w:rPr>
          <w:rFonts w:ascii="Times New Roman" w:hAnsi="Times New Roman"/>
        </w:rPr>
        <w:t xml:space="preserve"> (como la fica resumen)</w:t>
      </w:r>
      <w:r>
        <w:rPr>
          <w:rFonts w:ascii="Times New Roman" w:hAnsi="Times New Roman"/>
        </w:rPr>
        <w:t xml:space="preserve"> y facilitar la liquidación telemática.</w:t>
      </w:r>
    </w:p>
    <w:p w14:paraId="6EDE6B97" w14:textId="0B382794" w:rsidR="00210DF3" w:rsidRPr="00210DF3" w:rsidRDefault="00210DF3">
      <w:pPr>
        <w:pStyle w:val="Textonotaalfinal"/>
      </w:pPr>
    </w:p>
  </w:endnote>
  <w:endnote w:id="11">
    <w:p w14:paraId="1246B0AE" w14:textId="77777777" w:rsidR="00C7604F" w:rsidRDefault="00C7604F" w:rsidP="00BF0533">
      <w:pPr>
        <w:pStyle w:val="Textonotaalfinal"/>
        <w:spacing w:line="200" w:lineRule="exact"/>
        <w:jc w:val="both"/>
        <w:rPr>
          <w:lang w:val="es-ES"/>
        </w:rPr>
      </w:pPr>
      <w:r>
        <w:rPr>
          <w:rStyle w:val="Refdenotaalfinal"/>
        </w:rPr>
        <w:endnoteRef/>
      </w:r>
      <w:r>
        <w:t xml:space="preserve"> </w:t>
      </w:r>
      <w:r>
        <w:rPr>
          <w:lang w:val="es-ES"/>
        </w:rPr>
        <w:t>A diferencia de lo que sucede en Andalucía (10 días hábiles) o en Galicia (10 días naturales), el precepto no establece plazo. En la documentación de SIGNO se habla de 10 días naturales ¿?</w:t>
      </w:r>
    </w:p>
    <w:p w14:paraId="3CF4B62A" w14:textId="77777777" w:rsidR="00C7604F" w:rsidRDefault="00C7604F" w:rsidP="00BF0533">
      <w:pPr>
        <w:pStyle w:val="Textonotaalfinal"/>
        <w:spacing w:line="200" w:lineRule="exact"/>
        <w:jc w:val="both"/>
        <w:rPr>
          <w:lang w:val="es-ES"/>
        </w:rPr>
      </w:pPr>
    </w:p>
  </w:endnote>
  <w:endnote w:id="12">
    <w:p w14:paraId="71A81B9E" w14:textId="77777777" w:rsidR="00C7604F" w:rsidRDefault="00C7604F" w:rsidP="00BF0533">
      <w:pPr>
        <w:pStyle w:val="Textonotaalfinal"/>
        <w:spacing w:line="200" w:lineRule="exact"/>
        <w:jc w:val="both"/>
      </w:pPr>
      <w:r>
        <w:rPr>
          <w:rStyle w:val="Refdenotaalfinal"/>
        </w:rPr>
        <w:endnoteRef/>
      </w:r>
      <w:r>
        <w:t xml:space="preserve"> Con finalidad de facilitar la liquidación telemática.</w:t>
      </w:r>
    </w:p>
    <w:p w14:paraId="593860CD" w14:textId="77777777" w:rsidR="00C7604F" w:rsidRDefault="00C7604F" w:rsidP="00BF0533">
      <w:pPr>
        <w:pStyle w:val="Textonotaalfinal"/>
        <w:spacing w:line="200" w:lineRule="exact"/>
        <w:jc w:val="both"/>
      </w:pPr>
    </w:p>
  </w:endnote>
  <w:endnote w:id="13">
    <w:p w14:paraId="62E68198" w14:textId="77777777" w:rsidR="00C7604F" w:rsidRDefault="00C7604F" w:rsidP="00BF0533">
      <w:pPr>
        <w:pStyle w:val="Textonotaalfinal"/>
        <w:spacing w:line="200" w:lineRule="exact"/>
        <w:jc w:val="both"/>
        <w:rPr>
          <w:rFonts w:ascii="Times New Roman" w:hAnsi="Times New Roman"/>
        </w:rPr>
      </w:pPr>
      <w:r>
        <w:rPr>
          <w:rStyle w:val="Refdenotaalfinal"/>
          <w:rFonts w:ascii="Times New Roman" w:hAnsi="Times New Roman"/>
        </w:rPr>
        <w:endnoteRef/>
      </w:r>
      <w:r>
        <w:rPr>
          <w:rFonts w:ascii="Times New Roman" w:hAnsi="Times New Roman"/>
        </w:rPr>
        <w:t xml:space="preserve"> A diferencia de Andalucía, nada se dice expresamente acerca de que tal voluntad o autorización conste en la escritura, pero no deja de ser conveniente.</w:t>
      </w:r>
    </w:p>
    <w:p w14:paraId="40069E5A" w14:textId="77777777" w:rsidR="00C7604F" w:rsidRDefault="00C7604F" w:rsidP="00BF0533">
      <w:pPr>
        <w:pStyle w:val="Textonotaalfinal"/>
        <w:spacing w:line="200" w:lineRule="exact"/>
        <w:jc w:val="both"/>
        <w:rPr>
          <w:rFonts w:ascii="Times New Roman" w:hAnsi="Times New Roman"/>
          <w:lang w:val="es-ES"/>
        </w:rPr>
      </w:pPr>
    </w:p>
  </w:endnote>
  <w:endnote w:id="14">
    <w:p w14:paraId="58F5BF61" w14:textId="77777777" w:rsidR="00C7604F" w:rsidRDefault="00C7604F" w:rsidP="00BF0533">
      <w:pPr>
        <w:pStyle w:val="Textonotaalfinal"/>
        <w:spacing w:line="200" w:lineRule="exact"/>
        <w:jc w:val="both"/>
        <w:rPr>
          <w:rFonts w:ascii="Times New Roman" w:hAnsi="Times New Roman"/>
        </w:rPr>
      </w:pPr>
      <w:r>
        <w:rPr>
          <w:rStyle w:val="Refdenotaalfinal"/>
          <w:rFonts w:ascii="Times New Roman" w:hAnsi="Times New Roman"/>
        </w:rPr>
        <w:endnoteRef/>
      </w:r>
      <w:r>
        <w:rPr>
          <w:rFonts w:ascii="Times New Roman" w:hAnsi="Times New Roman"/>
        </w:rPr>
        <w:t xml:space="preserve"> En Trámites/Ficha.</w:t>
      </w:r>
    </w:p>
    <w:p w14:paraId="66BBE086" w14:textId="77777777" w:rsidR="00C7604F" w:rsidRDefault="00C7604F" w:rsidP="00BF0533">
      <w:pPr>
        <w:pStyle w:val="Textonotaalfinal"/>
        <w:spacing w:line="200" w:lineRule="exact"/>
        <w:jc w:val="both"/>
        <w:rPr>
          <w:rFonts w:ascii="Times New Roman" w:hAnsi="Times New Roman"/>
        </w:rPr>
      </w:pPr>
    </w:p>
  </w:endnote>
  <w:endnote w:id="15">
    <w:p w14:paraId="50A17149" w14:textId="77777777" w:rsidR="00C7604F" w:rsidRDefault="00C7604F" w:rsidP="00BF0533">
      <w:pPr>
        <w:pStyle w:val="Textonotaalfinal"/>
        <w:spacing w:line="200" w:lineRule="exact"/>
        <w:jc w:val="both"/>
        <w:rPr>
          <w:lang w:val="es-ES"/>
        </w:rPr>
      </w:pPr>
      <w:r>
        <w:rPr>
          <w:rStyle w:val="Refdenotaalfinal"/>
        </w:rPr>
        <w:endnoteRef/>
      </w:r>
      <w:r>
        <w:t xml:space="preserve"> </w:t>
      </w:r>
      <w:r>
        <w:rPr>
          <w:lang w:val="es-ES"/>
        </w:rPr>
        <w:t>Así, en materia de sucesiones o transmisión de participaciones sociales exentas, por lo que conviene su liquidación como tal.</w:t>
      </w:r>
    </w:p>
    <w:p w14:paraId="5C83D9FB" w14:textId="77777777" w:rsidR="00C7604F" w:rsidRDefault="00C7604F" w:rsidP="00BF0533">
      <w:pPr>
        <w:pStyle w:val="Textonotaalfinal"/>
        <w:spacing w:line="200" w:lineRule="exact"/>
        <w:jc w:val="both"/>
        <w:rPr>
          <w:lang w:val="es-ES"/>
        </w:rPr>
      </w:pPr>
    </w:p>
  </w:endnote>
  <w:endnote w:id="16">
    <w:p w14:paraId="494E5191" w14:textId="77777777" w:rsidR="00C7604F" w:rsidRDefault="00C7604F" w:rsidP="00BF0533">
      <w:pPr>
        <w:pStyle w:val="Textonotaalfinal"/>
        <w:spacing w:line="200" w:lineRule="exact"/>
        <w:jc w:val="both"/>
        <w:rPr>
          <w:lang w:val="es-ES"/>
        </w:rPr>
      </w:pPr>
      <w:r>
        <w:rPr>
          <w:rStyle w:val="Refdenotaalfinal"/>
        </w:rPr>
        <w:endnoteRef/>
      </w:r>
      <w:r>
        <w:t xml:space="preserve"> </w:t>
      </w:r>
      <w:r>
        <w:rPr>
          <w:lang w:val="es-ES"/>
        </w:rPr>
        <w:t>Para la Resolución TEAR Andalucía de 4 de abril 2013 "</w:t>
      </w:r>
      <w:r>
        <w:rPr>
          <w:i/>
          <w:lang w:val="es-ES"/>
        </w:rPr>
        <w:t>… la cuestión que se plantea en la presente reclamación se centra en determinar si es conforme a derecho la sanción impuesta al amparo de lo dispuesto por el articulo 198 LGT por la no presentación en plazo de autoliquidación sin ingreso por una compraventa de participaciones sociales en escritura pública, operación exenta del ITP y AJD, habiendo mediado requerimiento de la oficina gestora. Debe analizarse si concurre el elemento subjetivo de la culpabilidad. La jurisprudencia del Tribunal Supremo mantiene que ha rechazarse la configuración objetiva de la responsabilidad… La mera falta de presentación en plazo de la declaración no evidencia, por sí sola, la existencia de culpabilidad, toda vez, que ello pudo ser debido tanto a una interpretación razonable de la norma, a un error excusable o a una imprudencia sancionable. Ante esta situación, presumiéndose como se presume la no culpabilidad del infractor y no habiendo quedado suficientemente acreditada su concurrencia en el ilícito tributario lo procedente es anular la sanción impuesta…</w:t>
      </w:r>
      <w:r>
        <w:rPr>
          <w:lang w:val="es-ES"/>
        </w:rPr>
        <w:t>”.</w:t>
      </w:r>
    </w:p>
    <w:p w14:paraId="5C9C0A48" w14:textId="77777777" w:rsidR="00C7604F" w:rsidRDefault="00C7604F" w:rsidP="00BF0533">
      <w:pPr>
        <w:pStyle w:val="Textonotaalfinal"/>
        <w:spacing w:line="200" w:lineRule="exact"/>
        <w:jc w:val="both"/>
        <w:rPr>
          <w:lang w:val="es-ES"/>
        </w:rPr>
      </w:pPr>
    </w:p>
  </w:endnote>
  <w:endnote w:id="17">
    <w:p w14:paraId="6943477E" w14:textId="77777777" w:rsidR="00C7604F" w:rsidRDefault="00C7604F">
      <w:pPr>
        <w:pStyle w:val="Textonotaalfinal"/>
        <w:spacing w:line="200" w:lineRule="exact"/>
        <w:jc w:val="both"/>
        <w:rPr>
          <w:rFonts w:ascii="Times New Roman" w:hAnsi="Times New Roman"/>
        </w:rPr>
      </w:pPr>
      <w:r>
        <w:rPr>
          <w:rStyle w:val="Refdenotaalfinal"/>
        </w:rPr>
        <w:endnoteRef/>
      </w:r>
      <w:r>
        <w:t xml:space="preserve"> </w:t>
      </w:r>
      <w:r>
        <w:rPr>
          <w:rFonts w:ascii="Times New Roman" w:hAnsi="Times New Roman"/>
        </w:rPr>
        <w:t>La determinación de cuál sea el régimen tributario de la compraventa sobre tales viviendas protegidas presenta ciertas zonas de fricción derivadas de su tradicional tratamiento favorable afectado, primero por la introducción del IVA, y después por la asunción de competencias por las Comunidades Autónomas. Quizás ayude la siguiente esquematización:</w:t>
      </w:r>
    </w:p>
    <w:p w14:paraId="551A96B9" w14:textId="77777777" w:rsidR="00C7604F" w:rsidRDefault="00C7604F" w:rsidP="00C854F8">
      <w:pPr>
        <w:pStyle w:val="Textonotaalfinal"/>
        <w:numPr>
          <w:ilvl w:val="0"/>
          <w:numId w:val="19"/>
        </w:numPr>
        <w:spacing w:line="200" w:lineRule="exact"/>
        <w:jc w:val="both"/>
        <w:textAlignment w:val="auto"/>
        <w:rPr>
          <w:rFonts w:ascii="Times New Roman" w:hAnsi="Times New Roman"/>
        </w:rPr>
      </w:pPr>
      <w:r>
        <w:rPr>
          <w:rFonts w:ascii="Times New Roman" w:hAnsi="Times New Roman"/>
        </w:rPr>
        <w:t>Primera transmisión: IVA al tipo reducido general del 10% (</w:t>
      </w:r>
      <w:hyperlink r:id="rId5" w:anchor="a91" w:history="1">
        <w:r>
          <w:rPr>
            <w:rStyle w:val="Hipervnculo"/>
            <w:rFonts w:ascii="Times New Roman" w:hAnsi="Times New Roman"/>
          </w:rPr>
          <w:t>art. 91-uno-1-7º de la Ley estatal 37/1992</w:t>
        </w:r>
      </w:hyperlink>
      <w:r>
        <w:rPr>
          <w:rFonts w:ascii="Times New Roman" w:hAnsi="Times New Roman"/>
        </w:rPr>
        <w:t>), salvo que sean de régimen especial o de promoción pública, en cuyo caso el IVA es el superreducido del 4% (</w:t>
      </w:r>
      <w:hyperlink r:id="rId6" w:anchor="a91" w:history="1">
        <w:r>
          <w:rPr>
            <w:rStyle w:val="Hipervnculo"/>
            <w:rFonts w:ascii="Times New Roman" w:hAnsi="Times New Roman"/>
          </w:rPr>
          <w:t>art. 91-dos-1-6º de la Ley estatal 37/1992</w:t>
        </w:r>
      </w:hyperlink>
      <w:r>
        <w:rPr>
          <w:rFonts w:ascii="Times New Roman" w:hAnsi="Times New Roman"/>
        </w:rPr>
        <w:t>); y exenta de AJD (</w:t>
      </w:r>
      <w:hyperlink r:id="rId7" w:anchor="a45" w:history="1">
        <w:r>
          <w:rPr>
            <w:rStyle w:val="Hipervnculo"/>
            <w:rFonts w:ascii="Times New Roman" w:hAnsi="Times New Roman"/>
          </w:rPr>
          <w:t>art. 45-I-B-12-c del Decreto-legislativo estatal 1/1993</w:t>
        </w:r>
      </w:hyperlink>
      <w:r>
        <w:rPr>
          <w:rFonts w:ascii="Times New Roman" w:hAnsi="Times New Roman"/>
        </w:rPr>
        <w:t>).</w:t>
      </w:r>
    </w:p>
    <w:p w14:paraId="78150AE6" w14:textId="77777777" w:rsidR="00C7604F" w:rsidRDefault="00C7604F" w:rsidP="00C854F8">
      <w:pPr>
        <w:pStyle w:val="Textonotaalfinal"/>
        <w:numPr>
          <w:ilvl w:val="0"/>
          <w:numId w:val="19"/>
        </w:numPr>
        <w:spacing w:line="200" w:lineRule="exact"/>
        <w:jc w:val="both"/>
        <w:textAlignment w:val="auto"/>
        <w:rPr>
          <w:rFonts w:ascii="Times New Roman" w:hAnsi="Times New Roman"/>
        </w:rPr>
      </w:pPr>
      <w:r>
        <w:rPr>
          <w:rFonts w:ascii="Times New Roman" w:hAnsi="Times New Roman"/>
        </w:rPr>
        <w:t>Segunda y posteriores transmisiones: TPO al tipo general asturiano del 8% hasta 300.000 € (</w:t>
      </w:r>
      <w:hyperlink r:id="rId8" w:anchor="t1c4s1" w:history="1">
        <w:r>
          <w:rPr>
            <w:rStyle w:val="Hipervnculo"/>
            <w:rFonts w:ascii="Times New Roman" w:hAnsi="Times New Roman"/>
            <w:lang w:val="es-ES"/>
          </w:rPr>
          <w:t>art. 26 del Decreto-legislativo asturiano 2/2014</w:t>
        </w:r>
      </w:hyperlink>
      <w:r>
        <w:rPr>
          <w:rFonts w:ascii="Times New Roman" w:hAnsi="Times New Roman"/>
        </w:rPr>
        <w:t>), salvo que sea aplicable el tipo reducido del 3% (</w:t>
      </w:r>
      <w:hyperlink r:id="rId9" w:anchor="a27" w:history="1">
        <w:r>
          <w:rPr>
            <w:rStyle w:val="Hipervnculo"/>
            <w:rFonts w:ascii="Times New Roman" w:hAnsi="Times New Roman"/>
            <w:lang w:val="es-ES"/>
          </w:rPr>
          <w:t>art. 27 del Decreto-legislativo asturiano 2/2014</w:t>
        </w:r>
      </w:hyperlink>
      <w:r>
        <w:rPr>
          <w:rFonts w:ascii="Times New Roman" w:hAnsi="Times New Roman"/>
        </w:rPr>
        <w:t>).</w:t>
      </w:r>
    </w:p>
    <w:p w14:paraId="5A5015A2" w14:textId="77777777" w:rsidR="00C7604F" w:rsidRDefault="00C7604F" w:rsidP="00C854F8">
      <w:pPr>
        <w:pStyle w:val="Textonotaalfinal"/>
        <w:numPr>
          <w:ilvl w:val="0"/>
          <w:numId w:val="19"/>
        </w:numPr>
        <w:spacing w:line="200" w:lineRule="exact"/>
        <w:jc w:val="both"/>
        <w:textAlignment w:val="auto"/>
        <w:rPr>
          <w:rFonts w:ascii="Times New Roman" w:hAnsi="Times New Roman"/>
        </w:rPr>
      </w:pPr>
      <w:r>
        <w:rPr>
          <w:rFonts w:ascii="Times New Roman" w:hAnsi="Times New Roman"/>
        </w:rPr>
        <w:t>Préstamo hipotecario: exento AJD (</w:t>
      </w:r>
      <w:hyperlink r:id="rId10" w:history="1">
        <w:r>
          <w:rPr>
            <w:rStyle w:val="Hipervnculo"/>
            <w:rFonts w:ascii="Times New Roman" w:hAnsi="Times New Roman"/>
          </w:rPr>
          <w:t>art. 45-I-B-12-d del Decreto-legislativo estatal 1/1993</w:t>
        </w:r>
      </w:hyperlink>
      <w:r>
        <w:rPr>
          <w:rFonts w:ascii="Times New Roman" w:hAnsi="Times New Roman"/>
        </w:rPr>
        <w:t>).</w:t>
      </w:r>
    </w:p>
    <w:p w14:paraId="4D5AE043" w14:textId="77777777" w:rsidR="00C7604F" w:rsidRDefault="00C7604F">
      <w:pPr>
        <w:pStyle w:val="Textonotaalfinal"/>
        <w:rPr>
          <w:lang w:val="es-ES"/>
        </w:rPr>
      </w:pPr>
    </w:p>
  </w:endnote>
  <w:endnote w:id="18">
    <w:p w14:paraId="325A4035" w14:textId="77777777" w:rsidR="00C7604F" w:rsidRDefault="00C7604F">
      <w:pPr>
        <w:pStyle w:val="Textonotaalfinal"/>
        <w:spacing w:line="200" w:lineRule="exact"/>
        <w:jc w:val="both"/>
        <w:rPr>
          <w:rFonts w:ascii="Times New Roman" w:hAnsi="Times New Roman"/>
        </w:rPr>
      </w:pPr>
      <w:r>
        <w:rPr>
          <w:rStyle w:val="Refdenotaalfinal"/>
        </w:rPr>
        <w:endnoteRef/>
      </w:r>
      <w:r>
        <w:t xml:space="preserve"> </w:t>
      </w:r>
      <w:r>
        <w:rPr>
          <w:rFonts w:ascii="Times New Roman" w:hAnsi="Times New Roman"/>
        </w:rPr>
        <w:t>La exención de AJD del préstamo hipotecario sobre vivienda protegida (</w:t>
      </w:r>
      <w:hyperlink r:id="rId11" w:history="1">
        <w:r>
          <w:rPr>
            <w:rStyle w:val="Hipervnculo"/>
            <w:rFonts w:ascii="Times New Roman" w:hAnsi="Times New Roman"/>
            <w:spacing w:val="6"/>
          </w:rPr>
          <w:t>art. 45-I-B-12-d del Decreto-Legislativo estatal 1/1993</w:t>
        </w:r>
      </w:hyperlink>
      <w:r>
        <w:rPr>
          <w:rFonts w:ascii="Times New Roman" w:hAnsi="Times New Roman"/>
          <w:spacing w:val="6"/>
        </w:rPr>
        <w:t>)</w:t>
      </w:r>
      <w:r>
        <w:rPr>
          <w:rFonts w:ascii="Times New Roman" w:hAnsi="Times New Roman"/>
        </w:rPr>
        <w:t xml:space="preserve"> ha experimentado la siguiente evolución jurisprudencial:</w:t>
      </w:r>
    </w:p>
    <w:p w14:paraId="4B5E113D" w14:textId="77777777" w:rsidR="00C7604F" w:rsidRDefault="00C7604F" w:rsidP="00C854F8">
      <w:pPr>
        <w:pStyle w:val="Textonotaalfinal"/>
        <w:numPr>
          <w:ilvl w:val="0"/>
          <w:numId w:val="20"/>
        </w:numPr>
        <w:spacing w:line="200" w:lineRule="exact"/>
        <w:jc w:val="both"/>
        <w:textAlignment w:val="auto"/>
        <w:rPr>
          <w:rFonts w:ascii="Times New Roman" w:hAnsi="Times New Roman"/>
        </w:rPr>
      </w:pPr>
      <w:r>
        <w:rPr>
          <w:rFonts w:ascii="Times New Roman" w:hAnsi="Times New Roman"/>
        </w:rPr>
        <w:t xml:space="preserve">La </w:t>
      </w:r>
      <w:hyperlink r:id="rId12" w:history="1">
        <w:r>
          <w:rPr>
            <w:rStyle w:val="Hipervnculo"/>
            <w:rFonts w:ascii="Times New Roman" w:hAnsi="Times New Roman"/>
          </w:rPr>
          <w:t>Resolución DGT de 20 de enero de 2000</w:t>
        </w:r>
      </w:hyperlink>
      <w:r>
        <w:rPr>
          <w:rFonts w:ascii="Times New Roman" w:hAnsi="Times New Roman"/>
        </w:rPr>
        <w:t xml:space="preserve"> precisa el alcance de la norma "... </w:t>
      </w:r>
      <w:r>
        <w:rPr>
          <w:rFonts w:ascii="Times New Roman" w:hAnsi="Times New Roman"/>
          <w:i/>
          <w:iCs/>
        </w:rPr>
        <w:t>excluyendo de la exención aquellas escrituras en las que la garantía, aun cuando recaiga sobre una VPO, se constituya para fines distintos de la adquisición...".</w:t>
      </w:r>
    </w:p>
    <w:p w14:paraId="72C81EC8" w14:textId="77777777" w:rsidR="00C7604F" w:rsidRDefault="00C7604F" w:rsidP="00C854F8">
      <w:pPr>
        <w:pStyle w:val="Textonotaalfinal"/>
        <w:numPr>
          <w:ilvl w:val="0"/>
          <w:numId w:val="20"/>
        </w:numPr>
        <w:spacing w:line="200" w:lineRule="exact"/>
        <w:jc w:val="both"/>
        <w:textAlignment w:val="auto"/>
        <w:rPr>
          <w:rFonts w:ascii="Times New Roman" w:hAnsi="Times New Roman"/>
        </w:rPr>
      </w:pPr>
      <w:r>
        <w:rPr>
          <w:rFonts w:ascii="Times New Roman" w:hAnsi="Times New Roman"/>
        </w:rPr>
        <w:t xml:space="preserve">La </w:t>
      </w:r>
      <w:hyperlink r:id="rId13" w:history="1">
        <w:r>
          <w:rPr>
            <w:rStyle w:val="Hipervnculo"/>
            <w:rFonts w:ascii="Times New Roman" w:hAnsi="Times New Roman"/>
          </w:rPr>
          <w:t>Resolución DGT de 29 de noviembre de 2000</w:t>
        </w:r>
      </w:hyperlink>
      <w:r>
        <w:rPr>
          <w:rFonts w:ascii="Times New Roman" w:hAnsi="Times New Roman"/>
        </w:rPr>
        <w:t xml:space="preserve"> aclara que la exención alcanza tanto al préstamo destinando a financiar la primera adquisición como al destinado a financiar la segunda o posteriores adquisiciones, siempre que la cantidad garantizada no supere el precio fijado por la Administración.</w:t>
      </w:r>
    </w:p>
    <w:p w14:paraId="0251E5C2" w14:textId="77777777" w:rsidR="00C7604F" w:rsidRDefault="00C7604F" w:rsidP="00C854F8">
      <w:pPr>
        <w:pStyle w:val="Textonotaalfinal"/>
        <w:numPr>
          <w:ilvl w:val="0"/>
          <w:numId w:val="20"/>
        </w:numPr>
        <w:spacing w:line="200" w:lineRule="exact"/>
        <w:jc w:val="both"/>
        <w:textAlignment w:val="auto"/>
        <w:rPr>
          <w:rFonts w:ascii="Times New Roman" w:hAnsi="Times New Roman"/>
        </w:rPr>
      </w:pPr>
      <w:r>
        <w:rPr>
          <w:rFonts w:ascii="Times New Roman" w:hAnsi="Times New Roman"/>
        </w:rPr>
        <w:t xml:space="preserve">La </w:t>
      </w:r>
      <w:hyperlink r:id="rId14" w:history="1">
        <w:r>
          <w:rPr>
            <w:rStyle w:val="Hipervnculo"/>
            <w:rFonts w:ascii="Times New Roman" w:hAnsi="Times New Roman"/>
          </w:rPr>
          <w:t>Resolución DGT de 22 de enero de 2004</w:t>
        </w:r>
      </w:hyperlink>
      <w:r>
        <w:rPr>
          <w:rFonts w:ascii="Times New Roman" w:hAnsi="Times New Roman"/>
        </w:rPr>
        <w:t xml:space="preserve"> matiza que "</w:t>
      </w:r>
      <w:r>
        <w:rPr>
          <w:rFonts w:ascii="Times New Roman" w:hAnsi="Times New Roman"/>
          <w:i/>
        </w:rPr>
        <w:t>... la exención abarca a todas las escrituras públicas otorgadas para formalizar actos o contratos relacionados con viviendas de protección oficial, lo que incluye no solo a las que formalicen préstamos hipotecarios para financiar su construcción, sino también debe extenderse a ulteriores préstamos destinados a la refinanciación o reforma de viviendas de protección oficial, en tanto en cuanto permanezca vigente tal calificación...</w:t>
      </w:r>
      <w:r>
        <w:rPr>
          <w:rFonts w:ascii="Times New Roman" w:hAnsi="Times New Roman"/>
        </w:rPr>
        <w:t>".</w:t>
      </w:r>
    </w:p>
    <w:p w14:paraId="1AE7E3C6" w14:textId="77777777" w:rsidR="00C7604F" w:rsidRDefault="00C7604F" w:rsidP="00C854F8">
      <w:pPr>
        <w:pStyle w:val="Textonotaalfinal"/>
        <w:numPr>
          <w:ilvl w:val="0"/>
          <w:numId w:val="20"/>
        </w:numPr>
        <w:spacing w:line="200" w:lineRule="exact"/>
        <w:jc w:val="both"/>
        <w:textAlignment w:val="auto"/>
        <w:rPr>
          <w:rFonts w:ascii="Times New Roman" w:hAnsi="Times New Roman"/>
        </w:rPr>
      </w:pPr>
      <w:r>
        <w:rPr>
          <w:rFonts w:ascii="Times New Roman" w:hAnsi="Times New Roman"/>
        </w:rPr>
        <w:t xml:space="preserve">La </w:t>
      </w:r>
      <w:hyperlink r:id="rId15" w:history="1">
        <w:r>
          <w:rPr>
            <w:rStyle w:val="Hipervnculo"/>
            <w:rFonts w:ascii="Times New Roman" w:hAnsi="Times New Roman"/>
          </w:rPr>
          <w:t>Resolución de la DGT catalana de 21 de septiembre de 2009</w:t>
        </w:r>
      </w:hyperlink>
      <w:r>
        <w:rPr>
          <w:rFonts w:ascii="Times New Roman" w:hAnsi="Times New Roman"/>
        </w:rPr>
        <w:t xml:space="preserve"> concluye que "</w:t>
      </w:r>
      <w:r>
        <w:rPr>
          <w:rFonts w:ascii="Times New Roman" w:hAnsi="Times New Roman"/>
          <w:i/>
        </w:rPr>
        <w:t>... D'acord amb tots aquests pronunciaments, l'exempció en la modalitat d'actes jurídics documentats opera respecte d'aquelles escriptures públiques que documenten préstecs hipotecaris destinats al finançament de la construcció, adquisició, reforma o refinançament dels habitatges de protecció oficial, quedant exclosos expressament aquells que s'obtinguin per a finalitats diferents. En el cas ara examinat, en tant que el préstec hipotecari es destina (segons es diu) a l'adquisició d'un HPO, resultarà aplicable l'exempció en AJD tot i que una de les garanties ofertes (el pis dels pares) no tingui la condició d'HPO...</w:t>
      </w:r>
      <w:r>
        <w:rPr>
          <w:rFonts w:ascii="Times New Roman" w:hAnsi="Times New Roman"/>
        </w:rPr>
        <w:t>". La importancia de esta Resolución es que es posterior a la Ley 4/2008, que ha dado nueva redacción a este art. 45-I-B-12, y que en alguna Oficina Liquidadora se está interpretando en el sentido de que están exentos los préstamos destinados exclusivamente a adquisición, y no en el sentido de las Resoluciones invocadas de que están exentos los préstamos destinados exclusivamente a actuaciones en la vivienda que se hipoteca.</w:t>
      </w:r>
    </w:p>
    <w:p w14:paraId="4D19E16C" w14:textId="77777777" w:rsidR="00C7604F" w:rsidRDefault="00C7604F" w:rsidP="00C854F8">
      <w:pPr>
        <w:pStyle w:val="Textonotaalfinal"/>
        <w:numPr>
          <w:ilvl w:val="0"/>
          <w:numId w:val="20"/>
        </w:numPr>
        <w:spacing w:line="200" w:lineRule="exact"/>
        <w:jc w:val="both"/>
        <w:textAlignment w:val="auto"/>
        <w:rPr>
          <w:rFonts w:ascii="Times New Roman" w:hAnsi="Times New Roman"/>
        </w:rPr>
      </w:pPr>
      <w:r>
        <w:rPr>
          <w:rFonts w:ascii="Times New Roman" w:hAnsi="Times New Roman"/>
        </w:rPr>
        <w:t xml:space="preserve">Por el contrario, la </w:t>
      </w:r>
      <w:hyperlink r:id="rId16" w:history="1">
        <w:r>
          <w:rPr>
            <w:rStyle w:val="Hipervnculo"/>
            <w:rFonts w:ascii="Times New Roman" w:hAnsi="Times New Roman"/>
          </w:rPr>
          <w:t>Circular 1/2016 de la Agencia Tributaria de Andalucía</w:t>
        </w:r>
      </w:hyperlink>
      <w:r>
        <w:rPr>
          <w:rFonts w:ascii="Times New Roman" w:hAnsi="Times New Roman"/>
        </w:rPr>
        <w:t>, dada la nueva redacción por la Ley 4/2008, considera que la exención sólo es aplicable a los préstamos hipotecarios destinados a la adquisición de VPO.</w:t>
      </w:r>
    </w:p>
    <w:p w14:paraId="74E9C971" w14:textId="77777777" w:rsidR="00C7604F" w:rsidRPr="0013578B" w:rsidRDefault="00C7604F" w:rsidP="00C854F8">
      <w:pPr>
        <w:pStyle w:val="Textonotaalfinal"/>
        <w:numPr>
          <w:ilvl w:val="0"/>
          <w:numId w:val="20"/>
        </w:numPr>
        <w:spacing w:line="200" w:lineRule="exact"/>
        <w:jc w:val="both"/>
        <w:textAlignment w:val="auto"/>
        <w:rPr>
          <w:rFonts w:ascii="Times New Roman" w:hAnsi="Times New Roman"/>
          <w:lang w:val="es-ES"/>
        </w:rPr>
      </w:pPr>
      <w:r>
        <w:rPr>
          <w:rFonts w:ascii="Times New Roman" w:hAnsi="Times New Roman"/>
        </w:rPr>
        <w:t xml:space="preserve">Según la </w:t>
      </w:r>
      <w:hyperlink r:id="rId17" w:history="1">
        <w:r w:rsidRPr="00212C04">
          <w:rPr>
            <w:rStyle w:val="Hipervnculo"/>
            <w:rFonts w:ascii="Times New Roman" w:hAnsi="Times New Roman"/>
          </w:rPr>
          <w:t>Resolución TEAC de 10 de junio de 2020</w:t>
        </w:r>
      </w:hyperlink>
      <w:r>
        <w:rPr>
          <w:rFonts w:ascii="Times New Roman" w:hAnsi="Times New Roman"/>
        </w:rPr>
        <w:t>,  “</w:t>
      </w:r>
      <w:r w:rsidRPr="0013578B">
        <w:rPr>
          <w:rFonts w:ascii="Times New Roman" w:hAnsi="Times New Roman"/>
          <w:i/>
        </w:rPr>
        <w:t xml:space="preserve">... </w:t>
      </w:r>
      <w:r w:rsidRPr="0013578B">
        <w:rPr>
          <w:rFonts w:ascii="Times New Roman" w:hAnsi="Times New Roman"/>
          <w:i/>
          <w:lang w:val="es-ES"/>
        </w:rPr>
        <w:t>La exención regulada en el apartado d) del artículo 45.I.B).12 del Real Decreto Legislativo 1/1993, de 24 de septiembre, por el que se aprueba el Texto Refundido de la Ley del Impuesto sobre Transmisiones Patrimoniales y Actos Jurídicos Documentados (TRLITPAJD), resulta aplicable no sólo respecto de aquellas viviendas de protección oficial que tienen un precio máximo de venta, sino también respecto de viviendas protegidas con precio de venta libre; en este último caso, la exención de la constitución del préstamo hipotecario tendrá como límites que el importe del préstamo no supere el precio de la vivienda, y también que éste último no supere el precio máximo establecido para las viviendas de protección oficial vigente en la fecha de la transmisión de la vivienda...</w:t>
      </w:r>
      <w:r>
        <w:rPr>
          <w:rFonts w:ascii="Times New Roman" w:hAnsi="Times New Roman"/>
          <w:lang w:val="es-ES"/>
        </w:rPr>
        <w:t>”.</w:t>
      </w:r>
    </w:p>
    <w:p w14:paraId="47E1F2C1" w14:textId="77777777" w:rsidR="00C7604F" w:rsidRDefault="00C7604F" w:rsidP="00C854F8">
      <w:pPr>
        <w:pStyle w:val="Textonotaalfinal"/>
        <w:numPr>
          <w:ilvl w:val="0"/>
          <w:numId w:val="20"/>
        </w:numPr>
        <w:spacing w:line="200" w:lineRule="exact"/>
        <w:jc w:val="both"/>
        <w:textAlignment w:val="auto"/>
        <w:rPr>
          <w:rFonts w:ascii="Times New Roman" w:hAnsi="Times New Roman"/>
        </w:rPr>
      </w:pPr>
      <w:r>
        <w:rPr>
          <w:rFonts w:ascii="Times New Roman" w:hAnsi="Times New Roman"/>
        </w:rPr>
        <w:t xml:space="preserve">Y en Asturias, el específico tipo reducido del 0,3% del </w:t>
      </w:r>
      <w:hyperlink r:id="rId18" w:anchor="a29" w:history="1">
        <w:r>
          <w:rPr>
            <w:rStyle w:val="Hipervnculo"/>
            <w:rFonts w:ascii="Times New Roman" w:hAnsi="Times New Roman"/>
            <w:lang w:val="es-ES"/>
          </w:rPr>
          <w:t>art. 35 del Decreto-legislativo asturiano 2/2014</w:t>
        </w:r>
      </w:hyperlink>
      <w:r>
        <w:rPr>
          <w:rFonts w:ascii="Times New Roman" w:hAnsi="Times New Roman"/>
        </w:rPr>
        <w:t xml:space="preserve"> (en defecto de cualesquiera posibles exenciones) parece sólo aplicable a los préstamos hipotecarios destinados a la adquisición de la vivienda.</w:t>
      </w:r>
    </w:p>
    <w:p w14:paraId="422AB5F2" w14:textId="77777777" w:rsidR="00C7604F" w:rsidRPr="008678D2" w:rsidRDefault="00C7604F" w:rsidP="008678D2">
      <w:pPr>
        <w:pStyle w:val="Textonotaalfinal"/>
        <w:spacing w:line="200" w:lineRule="exact"/>
        <w:jc w:val="both"/>
        <w:textAlignment w:val="auto"/>
        <w:rPr>
          <w:rFonts w:ascii="Times New Roman" w:hAnsi="Times New Roman"/>
        </w:rPr>
      </w:pPr>
      <w:r>
        <w:rPr>
          <w:rFonts w:ascii="Times New Roman" w:hAnsi="Times New Roman"/>
        </w:rPr>
        <w:t xml:space="preserve">Debe tenerse en cuenta, además, que desde el 10/10/2018 </w:t>
      </w:r>
      <w:r w:rsidRPr="008678D2">
        <w:rPr>
          <w:rFonts w:ascii="Times New Roman" w:hAnsi="Times New Roman"/>
        </w:rPr>
        <w:t>en los préstamos hipotecarios el sujeto pasivo pasa a ser el prestamista</w:t>
      </w:r>
      <w:r>
        <w:rPr>
          <w:rFonts w:ascii="Times New Roman" w:hAnsi="Times New Roman"/>
        </w:rPr>
        <w:t xml:space="preserve">, aunque parece que se mantiene </w:t>
      </w:r>
      <w:r w:rsidRPr="008678D2">
        <w:rPr>
          <w:rFonts w:ascii="Times New Roman" w:hAnsi="Times New Roman"/>
        </w:rPr>
        <w:t xml:space="preserve"> </w:t>
      </w:r>
      <w:r>
        <w:rPr>
          <w:rFonts w:ascii="Times New Roman" w:hAnsi="Times New Roman"/>
        </w:rPr>
        <w:t xml:space="preserve">la exención </w:t>
      </w:r>
      <w:r w:rsidRPr="008B3648">
        <w:rPr>
          <w:rFonts w:ascii="Times New Roman" w:hAnsi="Times New Roman"/>
        </w:rPr>
        <w:t>estatal</w:t>
      </w:r>
      <w:r>
        <w:rPr>
          <w:rFonts w:ascii="Times New Roman" w:hAnsi="Times New Roman"/>
        </w:rPr>
        <w:t xml:space="preserve"> &lt;&lt;objetivas&gt;&gt; </w:t>
      </w:r>
      <w:r w:rsidRPr="008B3648">
        <w:rPr>
          <w:rFonts w:ascii="Times New Roman" w:hAnsi="Times New Roman"/>
        </w:rPr>
        <w:t xml:space="preserve">de los préstamos hipotecarios para la adquisición de vivienda protegida </w:t>
      </w:r>
      <w:r>
        <w:rPr>
          <w:rFonts w:ascii="Times New Roman" w:hAnsi="Times New Roman"/>
        </w:rPr>
        <w:t>(</w:t>
      </w:r>
      <w:hyperlink r:id="rId19" w:history="1">
        <w:r>
          <w:rPr>
            <w:rStyle w:val="Hipervnculo"/>
            <w:rFonts w:ascii="Times New Roman" w:hAnsi="Times New Roman"/>
            <w:spacing w:val="6"/>
          </w:rPr>
          <w:t>art. 45-I-B-12-d del Decreto-Legislativo estatal 1/1993</w:t>
        </w:r>
      </w:hyperlink>
      <w:r>
        <w:rPr>
          <w:rFonts w:ascii="Times New Roman" w:hAnsi="Times New Roman"/>
          <w:spacing w:val="6"/>
        </w:rPr>
        <w:t>)</w:t>
      </w:r>
      <w:r>
        <w:rPr>
          <w:rFonts w:ascii="Times New Roman" w:hAnsi="Times New Roman"/>
        </w:rPr>
        <w:t xml:space="preserve"> por su carácter &lt;&lt;objetivo&gt;&gt; no ligado a la condición del sujeto pasivo.</w:t>
      </w:r>
    </w:p>
    <w:p w14:paraId="7B92EAF7" w14:textId="77777777" w:rsidR="00C7604F" w:rsidRDefault="00C7604F" w:rsidP="00127A51">
      <w:pPr>
        <w:pStyle w:val="Textonotaalfinal"/>
        <w:spacing w:line="200" w:lineRule="exact"/>
        <w:rPr>
          <w:lang w:val="es-ES"/>
        </w:rPr>
      </w:pPr>
    </w:p>
  </w:endnote>
  <w:endnote w:id="19">
    <w:p w14:paraId="4E4CEEB4" w14:textId="77777777" w:rsidR="00C7604F" w:rsidRDefault="00C7604F" w:rsidP="00127A51">
      <w:pPr>
        <w:pStyle w:val="Textonotaalfinal"/>
        <w:spacing w:line="200" w:lineRule="exact"/>
        <w:jc w:val="both"/>
        <w:rPr>
          <w:rFonts w:ascii="Times New Roman" w:hAnsi="Times New Roman"/>
        </w:rPr>
      </w:pPr>
      <w:r>
        <w:rPr>
          <w:rStyle w:val="Refdenotaalfinal"/>
        </w:rPr>
        <w:endnoteRef/>
      </w:r>
      <w:r>
        <w:t xml:space="preserve"> El </w:t>
      </w:r>
      <w:hyperlink r:id="rId20" w:anchor="a29" w:history="1">
        <w:r>
          <w:rPr>
            <w:rStyle w:val="Hipervnculo"/>
            <w:lang w:val="es-ES"/>
          </w:rPr>
          <w:t>art. 35-2 del Decreto-legislativo asturiano 2/2014</w:t>
        </w:r>
      </w:hyperlink>
      <w:r>
        <w:t xml:space="preserve"> se remite al </w:t>
      </w:r>
      <w:hyperlink r:id="rId21" w:anchor="a68" w:history="1">
        <w:r>
          <w:rPr>
            <w:rStyle w:val="Hipervnculo"/>
            <w:rFonts w:ascii="Times New Roman" w:hAnsi="Times New Roman"/>
          </w:rPr>
          <w:t>art. 68-1-3º de la Ley 35/2006 del IRPF</w:t>
        </w:r>
      </w:hyperlink>
      <w:r>
        <w:rPr>
          <w:rFonts w:ascii="Times New Roman" w:hAnsi="Times New Roman"/>
        </w:rPr>
        <w:t>, según el cual, "</w:t>
      </w:r>
      <w:r>
        <w:rPr>
          <w:rFonts w:ascii="Times New Roman" w:hAnsi="Times New Roman"/>
          <w:i/>
        </w:rPr>
        <w:t>... Se entenderá por vivienda habitual aquella en la que el contribuyente resida durante un plazo continuado de tres años. No obstante, se entenderá que la vivienda tuvo aquel carácter cuando, a pesar de no haber transcurrido dicho plazo, se produzca el fallecimiento del contribuyente o concurran circunstancias que necesariamente exijan el cambio de vivienda, tales como separación matrimonial, traslado laboral, obtención de primer empleo o de empleo más ventajoso u otras análogas...</w:t>
      </w:r>
      <w:r>
        <w:rPr>
          <w:rFonts w:ascii="Times New Roman" w:hAnsi="Times New Roman"/>
        </w:rPr>
        <w:t>".</w:t>
      </w:r>
    </w:p>
    <w:p w14:paraId="786E5BA9" w14:textId="77777777" w:rsidR="00C7604F" w:rsidRDefault="00C7604F" w:rsidP="00127A51">
      <w:pPr>
        <w:pStyle w:val="Textonotaalfinal"/>
        <w:spacing w:line="200" w:lineRule="exact"/>
        <w:rPr>
          <w:lang w:val="es-ES"/>
        </w:rPr>
      </w:pPr>
    </w:p>
  </w:endnote>
  <w:endnote w:id="20">
    <w:p w14:paraId="3CBF4E4B" w14:textId="77777777" w:rsidR="00C7604F" w:rsidRDefault="00C7604F" w:rsidP="00127A51">
      <w:pPr>
        <w:pStyle w:val="Textonotaalfinal"/>
        <w:spacing w:line="200" w:lineRule="exact"/>
        <w:jc w:val="both"/>
      </w:pPr>
      <w:r>
        <w:rPr>
          <w:rStyle w:val="Refdenotaalfinal"/>
        </w:rPr>
        <w:endnoteRef/>
      </w:r>
      <w:r>
        <w:t xml:space="preserve"> El número 21 al que hace referencia la normativa asturiana fue suprimido por la Ley 28/2014. Hacía re</w:t>
      </w:r>
      <w:r w:rsidR="00045A8C">
        <w:t>fer</w:t>
      </w:r>
      <w:r>
        <w:t>encia a la exención de IVA de las aportaciones a Juntas de Compensación y adjudicaciones de éstas a los propietarios.</w:t>
      </w:r>
    </w:p>
    <w:p w14:paraId="122B5C4E" w14:textId="77777777" w:rsidR="00C7604F" w:rsidRDefault="00C7604F" w:rsidP="00127A51">
      <w:pPr>
        <w:pStyle w:val="Textonotaalfinal"/>
        <w:spacing w:line="200" w:lineRule="exact"/>
        <w:jc w:val="both"/>
        <w:rPr>
          <w:lang w:val="es-ES"/>
        </w:rPr>
      </w:pPr>
    </w:p>
  </w:endnote>
  <w:endnote w:id="21">
    <w:p w14:paraId="2480D3A3" w14:textId="77777777" w:rsidR="00C7604F" w:rsidRDefault="00C7604F" w:rsidP="00127A51">
      <w:pPr>
        <w:pStyle w:val="Textonotaalfinal"/>
        <w:spacing w:line="200" w:lineRule="exact"/>
        <w:jc w:val="both"/>
      </w:pPr>
      <w:r>
        <w:rPr>
          <w:rStyle w:val="Refdenotaalfinal"/>
        </w:rPr>
        <w:endnoteRef/>
      </w:r>
      <w:r>
        <w:t xml:space="preserve"> La inmediata redacción anterior fue dada por el número uno del artículo único de la Ley 3/2006, para adecuar la aplicación de la regla de prorrata a la Sexta Directiva europea (BOE 30/03/2006, en vigor desde el 1 de enero de 2006). Ha sido objeto de reforma</w:t>
      </w:r>
      <w:r>
        <w:rPr>
          <w:bCs/>
        </w:rPr>
        <w:t xml:space="preserve"> por la Ley 28/2014, en vigor desde el 1 de enero de 2015, que suprime el requisito de que el adquirente tenga derecho a la deducción total del IVA para poder renunciar a la exención del mismo.</w:t>
      </w:r>
    </w:p>
    <w:p w14:paraId="7D43C9A3" w14:textId="77777777" w:rsidR="00C7604F" w:rsidRDefault="00C7604F" w:rsidP="00127A51">
      <w:pPr>
        <w:pStyle w:val="Textonotaalfinal"/>
        <w:spacing w:line="200" w:lineRule="exact"/>
        <w:jc w:val="both"/>
      </w:pPr>
    </w:p>
  </w:endnote>
  <w:endnote w:id="22">
    <w:p w14:paraId="2C9B5F9D" w14:textId="77777777" w:rsidR="00C7604F" w:rsidRDefault="00C7604F" w:rsidP="000D1000">
      <w:pPr>
        <w:pStyle w:val="Textonotaalfinal"/>
        <w:spacing w:line="200" w:lineRule="exact"/>
        <w:jc w:val="both"/>
      </w:pPr>
      <w:r>
        <w:rPr>
          <w:rStyle w:val="Refdenotaalfinal"/>
        </w:rPr>
        <w:endnoteRef/>
      </w:r>
      <w:r>
        <w:t xml:space="preserve"> Se atiende también al lugar de radicación de los inmuebles en los supuestos en que la donación de acciones o participaciones encubra la de inmuebles conforme al </w:t>
      </w:r>
      <w:hyperlink r:id="rId22" w:anchor="a338" w:history="1">
        <w:r w:rsidR="00655CB6" w:rsidRPr="001A7A8C">
          <w:rPr>
            <w:rStyle w:val="Hipervnculo"/>
            <w:bCs/>
          </w:rPr>
          <w:t>artículo 338-1 de la Ley 6/2023 de los Mercados de Valores y de los Servicios de Inversión</w:t>
        </w:r>
      </w:hyperlink>
      <w:r>
        <w:t>. Fuera de tales supuestos, en la compraventa de acciones o participaciones sociales será competente para su liquidación por ITPO como exenta (a fin de evitar la moda de la sanción por incumplimiento de una obligación formal) la Comunidad Autónoma del lugar de otorgamiento (</w:t>
      </w:r>
      <w:hyperlink r:id="rId23" w:anchor="a32" w:history="1">
        <w:r w:rsidRPr="00DD1FC7">
          <w:rPr>
            <w:rStyle w:val="Hipervnculo"/>
            <w:iCs/>
          </w:rPr>
          <w:t>artículo</w:t>
        </w:r>
        <w:r>
          <w:rPr>
            <w:rStyle w:val="Hipervnculo"/>
            <w:iCs/>
          </w:rPr>
          <w:t xml:space="preserve"> 33</w:t>
        </w:r>
        <w:r w:rsidRPr="00DD1FC7">
          <w:rPr>
            <w:rStyle w:val="Hipervnculo"/>
            <w:iCs/>
          </w:rPr>
          <w:t>-2-</w:t>
        </w:r>
        <w:r>
          <w:rPr>
            <w:rStyle w:val="Hipervnculo"/>
            <w:iCs/>
          </w:rPr>
          <w:t>C-4º</w:t>
        </w:r>
        <w:r w:rsidRPr="00DD1FC7">
          <w:rPr>
            <w:rStyle w:val="Hipervnculo"/>
            <w:iCs/>
          </w:rPr>
          <w:t xml:space="preserve"> Ley 22/2009</w:t>
        </w:r>
      </w:hyperlink>
      <w:r>
        <w:t>); mientras que en la donación lo será la de la residencia fiscal del donatario (</w:t>
      </w:r>
      <w:hyperlink r:id="rId24" w:anchor="a32" w:history="1">
        <w:r w:rsidRPr="00083882">
          <w:rPr>
            <w:rStyle w:val="Hipervnculo"/>
            <w:iCs/>
          </w:rPr>
          <w:t>artículo 32-2-</w:t>
        </w:r>
        <w:r>
          <w:rPr>
            <w:rStyle w:val="Hipervnculo"/>
            <w:iCs/>
          </w:rPr>
          <w:t>c Ley 22/2009</w:t>
        </w:r>
      </w:hyperlink>
      <w:r>
        <w:t>).</w:t>
      </w:r>
    </w:p>
    <w:p w14:paraId="5FAFC501" w14:textId="77777777" w:rsidR="00C7604F" w:rsidRDefault="00C7604F" w:rsidP="000D1000">
      <w:pPr>
        <w:pStyle w:val="Textonotaalfinal"/>
        <w:spacing w:line="200" w:lineRule="exact"/>
        <w:jc w:val="right"/>
      </w:pPr>
    </w:p>
  </w:endnote>
  <w:endnote w:id="23">
    <w:p w14:paraId="75258F54" w14:textId="77777777" w:rsidR="00734AC5" w:rsidRDefault="00734AC5" w:rsidP="00734AC5">
      <w:pPr>
        <w:pStyle w:val="Textonotaalfinal"/>
        <w:jc w:val="both"/>
        <w:rPr>
          <w:lang w:val="es-ES"/>
        </w:rPr>
      </w:pPr>
      <w:r>
        <w:rPr>
          <w:rStyle w:val="Refdenotaalfinal"/>
        </w:rPr>
        <w:endnoteRef/>
      </w:r>
      <w:r>
        <w:t xml:space="preserve"> </w:t>
      </w:r>
      <w:r w:rsidRPr="00734AC5">
        <w:rPr>
          <w:lang w:val="es-ES"/>
        </w:rPr>
        <w:t>M</w:t>
      </w:r>
      <w:r w:rsidRPr="00734AC5">
        <w:rPr>
          <w:sz w:val="16"/>
          <w:szCs w:val="16"/>
          <w:lang w:val="es-ES"/>
        </w:rPr>
        <w:t>ARTORELL</w:t>
      </w:r>
      <w:r w:rsidRPr="00734AC5">
        <w:rPr>
          <w:lang w:val="es-ES"/>
        </w:rPr>
        <w:t xml:space="preserve"> G</w:t>
      </w:r>
      <w:r w:rsidRPr="00734AC5">
        <w:rPr>
          <w:sz w:val="16"/>
          <w:szCs w:val="16"/>
          <w:lang w:val="es-ES"/>
        </w:rPr>
        <w:t>ARCÍA</w:t>
      </w:r>
      <w:r w:rsidRPr="00734AC5">
        <w:rPr>
          <w:lang w:val="es-ES"/>
        </w:rPr>
        <w:t xml:space="preserve">, Vicente. </w:t>
      </w:r>
      <w:hyperlink r:id="rId25" w:history="1">
        <w:r w:rsidRPr="00734AC5">
          <w:rPr>
            <w:rStyle w:val="Hipervnculo"/>
            <w:i/>
            <w:lang w:val="es-ES"/>
          </w:rPr>
          <w:t>Cuadros con la incidencia del valor de referencia en los distintos impuestos</w:t>
        </w:r>
      </w:hyperlink>
      <w:r w:rsidRPr="00734AC5">
        <w:rPr>
          <w:lang w:val="es-ES"/>
        </w:rPr>
        <w:t xml:space="preserve">, </w:t>
      </w:r>
      <w:hyperlink r:id="rId26" w:history="1">
        <w:r w:rsidRPr="00734AC5">
          <w:rPr>
            <w:rStyle w:val="Hipervnculo"/>
            <w:lang w:val="es-ES"/>
          </w:rPr>
          <w:t>www.notariosyregistradores.com</w:t>
        </w:r>
      </w:hyperlink>
      <w:r w:rsidRPr="00734AC5">
        <w:rPr>
          <w:lang w:val="es-ES"/>
        </w:rPr>
        <w:t xml:space="preserve">, enero 2023 [actualizado en </w:t>
      </w:r>
      <w:hyperlink r:id="rId27" w:history="1">
        <w:r w:rsidRPr="00734AC5">
          <w:rPr>
            <w:rStyle w:val="Hipervnculo"/>
            <w:lang w:val="es-ES"/>
          </w:rPr>
          <w:t>www.oviedonotaria.com</w:t>
        </w:r>
      </w:hyperlink>
      <w:r w:rsidRPr="00734AC5">
        <w:rPr>
          <w:lang w:val="es-ES"/>
        </w:rPr>
        <w:t>]</w:t>
      </w:r>
      <w:r>
        <w:rPr>
          <w:lang w:val="es-ES"/>
        </w:rPr>
        <w:t>.</w:t>
      </w:r>
    </w:p>
    <w:p w14:paraId="3CF86CCC" w14:textId="77777777" w:rsidR="00734AC5" w:rsidRPr="00734AC5" w:rsidRDefault="00734AC5" w:rsidP="00734AC5">
      <w:pPr>
        <w:pStyle w:val="Textonotaalfinal"/>
        <w:jc w:val="both"/>
        <w:rPr>
          <w:lang w:val="es-ES"/>
        </w:rPr>
      </w:pPr>
    </w:p>
  </w:endnote>
  <w:endnote w:id="24">
    <w:p w14:paraId="21729B83" w14:textId="77777777" w:rsidR="00F42061" w:rsidRPr="006A416B" w:rsidRDefault="00F42061" w:rsidP="00F42061">
      <w:pPr>
        <w:pStyle w:val="Textonotaalfinal"/>
        <w:spacing w:line="200" w:lineRule="exact"/>
        <w:jc w:val="both"/>
        <w:rPr>
          <w:lang w:val="es-ES"/>
        </w:rPr>
      </w:pPr>
      <w:r>
        <w:rPr>
          <w:rStyle w:val="Refdenotaalfinal"/>
        </w:rPr>
        <w:endnoteRef/>
      </w:r>
      <w:r>
        <w:t xml:space="preserve"> </w:t>
      </w:r>
      <w:r>
        <w:rPr>
          <w:lang w:val="es-ES"/>
        </w:rPr>
        <w:t>Siempre da juego la exención del</w:t>
      </w:r>
      <w:r w:rsidRPr="006A416B">
        <w:rPr>
          <w:lang w:val="es-ES"/>
        </w:rPr>
        <w:t xml:space="preserve"> </w:t>
      </w:r>
      <w:hyperlink r:id="rId28" w:anchor="c2s4" w:history="1">
        <w:r w:rsidRPr="006A416B">
          <w:rPr>
            <w:rStyle w:val="Hipervnculo"/>
            <w:lang w:val="es-ES"/>
          </w:rPr>
          <w:t>art. 33-4-b de la Ley 35/2006 del IRPF</w:t>
        </w:r>
      </w:hyperlink>
      <w:r w:rsidRPr="006A416B">
        <w:rPr>
          <w:lang w:val="es-ES"/>
        </w:rPr>
        <w:t xml:space="preserve"> que </w:t>
      </w:r>
      <w:r w:rsidRPr="006A416B">
        <w:rPr>
          <w:i/>
          <w:lang w:val="es-ES"/>
        </w:rPr>
        <w:t xml:space="preserve">"... Estarán exentas del Impuesto las ganancias patrimoniales que se pongan de manifiesto... Con ocasión de la transmisión de su vivienda habitual por mayores de 65 años o por personas en situación de dependencia severa o de gran dependencia de conformidad con la </w:t>
      </w:r>
      <w:hyperlink r:id="rId29" w:history="1">
        <w:r w:rsidRPr="006A416B">
          <w:rPr>
            <w:rStyle w:val="Hipervnculo"/>
            <w:i/>
            <w:lang w:val="es-ES"/>
          </w:rPr>
          <w:t>Ley de promoción de la autonomía personal y atención a las personas en situación de dependencia</w:t>
        </w:r>
      </w:hyperlink>
      <w:r w:rsidRPr="006A416B">
        <w:rPr>
          <w:i/>
          <w:lang w:val="es-ES"/>
        </w:rPr>
        <w:t>...</w:t>
      </w:r>
      <w:r w:rsidRPr="006A416B">
        <w:rPr>
          <w:lang w:val="es-ES"/>
        </w:rPr>
        <w:t>".</w:t>
      </w:r>
    </w:p>
    <w:p w14:paraId="44C4BC6B" w14:textId="77777777" w:rsidR="00F42061" w:rsidRPr="006A416B" w:rsidRDefault="00F42061" w:rsidP="00F42061">
      <w:pPr>
        <w:pStyle w:val="Textonotaalfinal"/>
        <w:spacing w:line="200" w:lineRule="exact"/>
        <w:jc w:val="both"/>
        <w:rPr>
          <w:lang w:val="es-ES"/>
        </w:rPr>
      </w:pPr>
      <w:r w:rsidRPr="006A416B">
        <w:rPr>
          <w:lang w:val="es-ES"/>
        </w:rPr>
        <w:t xml:space="preserve">Y añade el </w:t>
      </w:r>
      <w:hyperlink r:id="rId30" w:anchor="a41b" w:history="1">
        <w:r w:rsidRPr="006A416B">
          <w:rPr>
            <w:rStyle w:val="Hipervnculo"/>
            <w:lang w:val="es-ES"/>
          </w:rPr>
          <w:t>art. 41 bis del Decreto 439/2007 aprobatorio del Reglamento del IRPF</w:t>
        </w:r>
      </w:hyperlink>
      <w:r w:rsidRPr="006A416B">
        <w:rPr>
          <w:lang w:val="es-ES"/>
        </w:rPr>
        <w:t xml:space="preserve">:  </w:t>
      </w:r>
    </w:p>
    <w:p w14:paraId="4A7D27D1" w14:textId="77777777" w:rsidR="00F42061" w:rsidRPr="006A416B" w:rsidRDefault="00F42061" w:rsidP="00F42061">
      <w:pPr>
        <w:pStyle w:val="Textonotaalfinal"/>
        <w:spacing w:line="200" w:lineRule="exact"/>
        <w:jc w:val="both"/>
        <w:rPr>
          <w:i/>
          <w:lang w:val="es-ES"/>
        </w:rPr>
      </w:pPr>
      <w:r w:rsidRPr="006A416B">
        <w:rPr>
          <w:bCs/>
          <w:lang w:val="es-ES"/>
        </w:rPr>
        <w:t>“</w:t>
      </w:r>
      <w:r w:rsidRPr="006A416B">
        <w:rPr>
          <w:bCs/>
          <w:i/>
          <w:lang w:val="es-ES"/>
        </w:rPr>
        <w:t>… 1.</w:t>
      </w:r>
      <w:r w:rsidRPr="006A416B">
        <w:rPr>
          <w:i/>
          <w:lang w:val="es-ES"/>
        </w:rPr>
        <w:t xml:space="preserve"> A los efectos previstos en los artículos 7.t), 33.4.b), y 38 de la Ley del Impuesto se considera vivienda habitual del contribuyente la edificación que constituya su residencia durante un plazo continuado de, al menos, tres años.</w:t>
      </w:r>
    </w:p>
    <w:p w14:paraId="3E6D59B0" w14:textId="77777777" w:rsidR="00F42061" w:rsidRPr="006A416B" w:rsidRDefault="00F42061" w:rsidP="00F42061">
      <w:pPr>
        <w:pStyle w:val="Textonotaalfinal"/>
        <w:spacing w:line="200" w:lineRule="exact"/>
        <w:jc w:val="both"/>
        <w:rPr>
          <w:i/>
          <w:lang w:val="es-ES"/>
        </w:rPr>
      </w:pPr>
      <w:r w:rsidRPr="006A416B">
        <w:rPr>
          <w:i/>
          <w:lang w:val="es-ES"/>
        </w:rPr>
        <w:t>No obstante, se entenderá que la vivienda tuvo el carácter de habitual cuando, a pesar de no haber transcurrido dicho plazo, se produzca el fallecimiento del contribuyente o concurran otras circunstancias que necesariamente exijan el cambio de domicilio, tales como celebración de matrimonio, separación matrimonial, traslado laboral, obtención del primer empleo, o cambio de empleo, u otras análogas justificadas.</w:t>
      </w:r>
    </w:p>
    <w:p w14:paraId="041689D6" w14:textId="77777777" w:rsidR="00F42061" w:rsidRPr="006A416B" w:rsidRDefault="00F42061" w:rsidP="00F42061">
      <w:pPr>
        <w:pStyle w:val="Textonotaalfinal"/>
        <w:spacing w:line="200" w:lineRule="exact"/>
        <w:jc w:val="both"/>
        <w:rPr>
          <w:i/>
          <w:lang w:val="es-ES"/>
        </w:rPr>
      </w:pPr>
      <w:r w:rsidRPr="006A416B">
        <w:rPr>
          <w:bCs/>
          <w:i/>
          <w:lang w:val="es-ES"/>
        </w:rPr>
        <w:t xml:space="preserve">2. </w:t>
      </w:r>
      <w:r w:rsidRPr="006A416B">
        <w:rPr>
          <w:i/>
          <w:lang w:val="es-ES"/>
        </w:rPr>
        <w:t>Para que la vivienda constituya la residencia habitual del contribuyente debe ser habitada de manera efectiva y con carácter permanente por el propio contribuyente, en un plazo de doce meses, contados a partir de la fecha de adquisición o terminación de las obras.</w:t>
      </w:r>
    </w:p>
    <w:p w14:paraId="6FB2827F" w14:textId="77777777" w:rsidR="00F42061" w:rsidRPr="006A416B" w:rsidRDefault="00F42061" w:rsidP="00F42061">
      <w:pPr>
        <w:pStyle w:val="Textonotaalfinal"/>
        <w:spacing w:line="200" w:lineRule="exact"/>
        <w:jc w:val="both"/>
        <w:rPr>
          <w:i/>
          <w:lang w:val="es-ES"/>
        </w:rPr>
      </w:pPr>
      <w:r w:rsidRPr="006A416B">
        <w:rPr>
          <w:i/>
          <w:lang w:val="es-ES"/>
        </w:rPr>
        <w:t>No obstante, se entenderá que la vivienda no pierde el carácter de habitual cuando se produzcan las siguientes circunstancias:</w:t>
      </w:r>
    </w:p>
    <w:p w14:paraId="2E454556" w14:textId="77777777" w:rsidR="00F42061" w:rsidRPr="006A416B" w:rsidRDefault="00F42061" w:rsidP="00F42061">
      <w:pPr>
        <w:pStyle w:val="Textonotaalfinal"/>
        <w:spacing w:line="200" w:lineRule="exact"/>
        <w:jc w:val="both"/>
        <w:rPr>
          <w:i/>
          <w:lang w:val="es-ES"/>
        </w:rPr>
      </w:pPr>
      <w:r w:rsidRPr="006A416B">
        <w:rPr>
          <w:i/>
          <w:lang w:val="es-ES"/>
        </w:rPr>
        <w:t>Cuando se produzca el fallecimiento del contribuyente o concurran otras circunstancias que necesariamente impidan la ocupación de la vivienda, en los términos previstos en el apartado 1 de este artículo.</w:t>
      </w:r>
    </w:p>
    <w:p w14:paraId="3281D02E" w14:textId="77777777" w:rsidR="00F42061" w:rsidRPr="006A416B" w:rsidRDefault="00F42061" w:rsidP="00F42061">
      <w:pPr>
        <w:pStyle w:val="Textonotaalfinal"/>
        <w:spacing w:line="200" w:lineRule="exact"/>
        <w:jc w:val="both"/>
        <w:rPr>
          <w:i/>
          <w:lang w:val="es-ES"/>
        </w:rPr>
      </w:pPr>
      <w:r w:rsidRPr="006A416B">
        <w:rPr>
          <w:i/>
          <w:lang w:val="es-ES"/>
        </w:rPr>
        <w:t>Cuando éste disfrute de vivienda habitual por razón de cargo o empleo y la vivienda adquirida no sea objeto de utilización, en cuyo caso el plazo antes indicado comenzará a contarse a partir de la fecha del cese.</w:t>
      </w:r>
    </w:p>
    <w:p w14:paraId="391C49AE" w14:textId="77777777" w:rsidR="00F42061" w:rsidRPr="006A416B" w:rsidRDefault="00F42061" w:rsidP="00F42061">
      <w:pPr>
        <w:pStyle w:val="Textonotaalfinal"/>
        <w:spacing w:line="200" w:lineRule="exact"/>
        <w:jc w:val="both"/>
        <w:rPr>
          <w:i/>
          <w:lang w:val="es-ES"/>
        </w:rPr>
      </w:pPr>
      <w:r w:rsidRPr="006A416B">
        <w:rPr>
          <w:i/>
          <w:lang w:val="es-ES"/>
        </w:rPr>
        <w:t>Cuando la vivienda hubiera sido habitada de manera efectiva y permanente por el contribuyente en el plazo de doce meses, contados a partir de la fecha de adquisición o terminación de las obras, el plazo de tres años previsto en el apartado anterior se computará desde esta última fecha.</w:t>
      </w:r>
    </w:p>
    <w:p w14:paraId="0D43714E" w14:textId="77777777" w:rsidR="00F42061" w:rsidRPr="006A416B" w:rsidRDefault="00F42061" w:rsidP="00F42061">
      <w:pPr>
        <w:pStyle w:val="Textonotaalfinal"/>
        <w:spacing w:line="200" w:lineRule="exact"/>
        <w:jc w:val="both"/>
        <w:rPr>
          <w:lang w:val="es-ES"/>
        </w:rPr>
      </w:pPr>
      <w:r w:rsidRPr="006A416B">
        <w:rPr>
          <w:bCs/>
          <w:i/>
          <w:lang w:val="es-ES"/>
        </w:rPr>
        <w:t>3.</w:t>
      </w:r>
      <w:r w:rsidRPr="006A416B">
        <w:rPr>
          <w:i/>
          <w:lang w:val="es-ES"/>
        </w:rPr>
        <w:t xml:space="preserve"> A los exclusivos efectos de la aplicación de las exenciones previstas en los artículos 33.4. b) y 38 de la Ley del Impuesto, se entenderá que el contribuyente está transmitiendo su vivienda habitual cuando, con arreglo a lo dispuesto en este artículo, dicha edificación constituya su vivienda habitual en ese momento o hubiera tenido tal consideración hasta cualquier día de los dos años anteriores a la fecha de transmisión…</w:t>
      </w:r>
      <w:r w:rsidRPr="006A416B">
        <w:rPr>
          <w:lang w:val="es-ES"/>
        </w:rPr>
        <w:t>”.</w:t>
      </w:r>
    </w:p>
    <w:p w14:paraId="6F5E6FAF" w14:textId="77777777" w:rsidR="00F42061" w:rsidRPr="006A416B" w:rsidRDefault="00F42061" w:rsidP="00F42061">
      <w:pPr>
        <w:pStyle w:val="Textonotaalfinal"/>
        <w:spacing w:line="200" w:lineRule="exact"/>
        <w:jc w:val="both"/>
        <w:rPr>
          <w:lang w:val="es-ES"/>
        </w:rPr>
      </w:pPr>
      <w:r>
        <w:rPr>
          <w:lang w:val="es-ES"/>
        </w:rPr>
        <w:t>Como pronunciamientos a tener en cuenta</w:t>
      </w:r>
      <w:r w:rsidRPr="006A416B">
        <w:rPr>
          <w:lang w:val="es-ES"/>
        </w:rPr>
        <w:t>:</w:t>
      </w:r>
    </w:p>
    <w:p w14:paraId="14EF8F2D" w14:textId="77777777" w:rsidR="00F42061" w:rsidRPr="006A416B" w:rsidRDefault="00F42061" w:rsidP="00C854F8">
      <w:pPr>
        <w:pStyle w:val="Textonotaalfinal"/>
        <w:numPr>
          <w:ilvl w:val="0"/>
          <w:numId w:val="31"/>
        </w:numPr>
        <w:spacing w:line="200" w:lineRule="exact"/>
        <w:jc w:val="both"/>
        <w:rPr>
          <w:lang w:val="es-ES"/>
        </w:rPr>
      </w:pPr>
      <w:r w:rsidRPr="006A416B">
        <w:rPr>
          <w:lang w:val="es-ES"/>
        </w:rPr>
        <w:t>Se exige haber sido propietario de la vivienda al menos 3 años, sin que baste que la vivienda haya sido la habitual durante más de 3 años pero la adquisición se hubiese verificado hace menos de 3 años (</w:t>
      </w:r>
      <w:hyperlink r:id="rId31" w:history="1">
        <w:r w:rsidRPr="006A416B">
          <w:rPr>
            <w:rStyle w:val="Hipervnculo"/>
            <w:lang w:val="es-ES"/>
          </w:rPr>
          <w:t>Sentencia del Tribunal Superior de Justicia de Valencia de 17 de junio de 2014</w:t>
        </w:r>
      </w:hyperlink>
      <w:r w:rsidRPr="006A416B">
        <w:rPr>
          <w:lang w:val="es-ES"/>
        </w:rPr>
        <w:t>).</w:t>
      </w:r>
    </w:p>
    <w:p w14:paraId="45547BE7" w14:textId="77777777" w:rsidR="00F42061" w:rsidRPr="006A416B" w:rsidRDefault="00F42061" w:rsidP="00C854F8">
      <w:pPr>
        <w:pStyle w:val="Textonotaalfinal"/>
        <w:numPr>
          <w:ilvl w:val="0"/>
          <w:numId w:val="31"/>
        </w:numPr>
        <w:spacing w:line="200" w:lineRule="exact"/>
        <w:jc w:val="both"/>
        <w:rPr>
          <w:lang w:val="es-ES"/>
        </w:rPr>
      </w:pPr>
      <w:r w:rsidRPr="006A416B">
        <w:rPr>
          <w:lang w:val="es-ES"/>
        </w:rPr>
        <w:t>Aplicación de la exención a la transmisión de la nuda propiedad, reservándose el usufructo (Resolución DGT de 23 de junio de 1997).</w:t>
      </w:r>
    </w:p>
    <w:p w14:paraId="55221C7E" w14:textId="77777777" w:rsidR="00F42061" w:rsidRDefault="00F42061" w:rsidP="00C854F8">
      <w:pPr>
        <w:pStyle w:val="Textonotaalfinal"/>
        <w:numPr>
          <w:ilvl w:val="0"/>
          <w:numId w:val="31"/>
        </w:numPr>
        <w:spacing w:line="200" w:lineRule="exact"/>
        <w:jc w:val="both"/>
        <w:rPr>
          <w:lang w:val="es-ES"/>
        </w:rPr>
      </w:pPr>
      <w:r w:rsidRPr="006A416B">
        <w:rPr>
          <w:lang w:val="es-ES"/>
        </w:rPr>
        <w:t>Aplicación de la exención al 50% en caso de transmisión de la vivienda ganancial, si sólo uno de los cónyuges es mayor de 65 años (Resolución DGT de 3 de septiembre de 2002).</w:t>
      </w:r>
    </w:p>
    <w:p w14:paraId="18ABE3DE" w14:textId="77777777" w:rsidR="00F42061" w:rsidRPr="00530770" w:rsidRDefault="00F42061" w:rsidP="00C854F8">
      <w:pPr>
        <w:pStyle w:val="Textonotaalfinal"/>
        <w:numPr>
          <w:ilvl w:val="0"/>
          <w:numId w:val="31"/>
        </w:numPr>
        <w:spacing w:line="200" w:lineRule="exact"/>
        <w:jc w:val="both"/>
        <w:rPr>
          <w:lang w:val="es-ES"/>
        </w:rPr>
      </w:pPr>
      <w:r w:rsidRPr="00530770">
        <w:rPr>
          <w:lang w:val="es-ES"/>
        </w:rPr>
        <w:t xml:space="preserve">Dentro de estas circunstancias análogas justificadas, incluyen la </w:t>
      </w:r>
      <w:hyperlink r:id="rId32" w:history="1">
        <w:r w:rsidRPr="00530770">
          <w:rPr>
            <w:rStyle w:val="Hipervnculo"/>
            <w:lang w:val="es-ES"/>
          </w:rPr>
          <w:t>Sentencia del Tribunal Supremo de 12 de mayo de 2017</w:t>
        </w:r>
      </w:hyperlink>
      <w:r w:rsidRPr="00530770">
        <w:rPr>
          <w:lang w:val="es-ES"/>
        </w:rPr>
        <w:t xml:space="preserve"> y la </w:t>
      </w:r>
      <w:hyperlink r:id="rId33" w:history="1">
        <w:r w:rsidRPr="00530770">
          <w:rPr>
            <w:rStyle w:val="Hipervnculo"/>
            <w:lang w:val="es-ES"/>
          </w:rPr>
          <w:t>Sentencia del Tribunal Superior de Justicia de Asturias de 16 de julio de 2018</w:t>
        </w:r>
      </w:hyperlink>
      <w:r w:rsidRPr="00530770">
        <w:rPr>
          <w:lang w:val="es-ES"/>
        </w:rPr>
        <w:t xml:space="preserve"> el traslado por motivos de salud y fallecimiento en un centro geriátrico o en la vivienda de un pariente, sin haber residido en la vivienda habitual en los tres años inmediatamente anteriores.</w:t>
      </w:r>
    </w:p>
    <w:p w14:paraId="15518A2D" w14:textId="77777777" w:rsidR="00F42061" w:rsidRDefault="00F42061" w:rsidP="00F42061">
      <w:pPr>
        <w:pStyle w:val="Textonotaalfinal"/>
        <w:spacing w:line="200" w:lineRule="exact"/>
      </w:pPr>
    </w:p>
  </w:endnote>
  <w:endnote w:id="25">
    <w:p w14:paraId="742EA19B" w14:textId="77777777" w:rsidR="00C7604F" w:rsidRDefault="00C7604F" w:rsidP="00127A51">
      <w:pPr>
        <w:pStyle w:val="Textonotaalfinal"/>
        <w:spacing w:line="200" w:lineRule="exact"/>
        <w:jc w:val="both"/>
        <w:rPr>
          <w:rFonts w:ascii="Times New Roman" w:hAnsi="Times New Roman"/>
        </w:rPr>
      </w:pPr>
      <w:r>
        <w:rPr>
          <w:rStyle w:val="Refdenotaalfinal"/>
          <w:rFonts w:ascii="Times New Roman" w:hAnsi="Times New Roman"/>
        </w:rPr>
        <w:endnoteRef/>
      </w:r>
      <w:r>
        <w:rPr>
          <w:rFonts w:ascii="Times New Roman" w:hAnsi="Times New Roman"/>
        </w:rPr>
        <w:t xml:space="preserve"> Nótese que la reducción opera sólo en la relación entre el ascendiente y su descendiente, con independencia de que éste adquiera conjuntamente con su cónyuge o pareja de hecho registrada y de la edad o condición de éstos.</w:t>
      </w:r>
    </w:p>
    <w:p w14:paraId="3BFABF87" w14:textId="77777777" w:rsidR="00C7604F" w:rsidRDefault="00C7604F" w:rsidP="00127A51">
      <w:pPr>
        <w:pStyle w:val="Textonotaalfinal"/>
        <w:spacing w:line="200" w:lineRule="exact"/>
        <w:jc w:val="both"/>
        <w:rPr>
          <w:rFonts w:ascii="Times New Roman" w:hAnsi="Times New Roman"/>
          <w:lang w:val="es-ES"/>
        </w:rPr>
      </w:pPr>
    </w:p>
  </w:endnote>
  <w:endnote w:id="26">
    <w:p w14:paraId="1D928093" w14:textId="77777777" w:rsidR="00C7604F" w:rsidRDefault="00C7604F" w:rsidP="00127A51">
      <w:pPr>
        <w:pStyle w:val="Textonotaalfinal"/>
        <w:spacing w:line="200" w:lineRule="exact"/>
        <w:jc w:val="both"/>
        <w:rPr>
          <w:rFonts w:ascii="Times New Roman" w:hAnsi="Times New Roman"/>
        </w:rPr>
      </w:pPr>
      <w:r>
        <w:rPr>
          <w:rStyle w:val="Refdenotaalfinal"/>
          <w:rFonts w:ascii="Times New Roman" w:hAnsi="Times New Roman"/>
        </w:rPr>
        <w:endnoteRef/>
      </w:r>
      <w:r>
        <w:rPr>
          <w:rFonts w:ascii="Times New Roman" w:hAnsi="Times New Roman"/>
        </w:rPr>
        <w:t xml:space="preserve"> Se discute si son equiparables los siguientes supuestos:</w:t>
      </w:r>
    </w:p>
    <w:p w14:paraId="185B5BC6" w14:textId="77777777" w:rsidR="00C7604F" w:rsidRDefault="00C7604F" w:rsidP="00C854F8">
      <w:pPr>
        <w:pStyle w:val="Textonotaalfinal"/>
        <w:numPr>
          <w:ilvl w:val="0"/>
          <w:numId w:val="12"/>
        </w:numPr>
        <w:spacing w:line="200" w:lineRule="exact"/>
        <w:jc w:val="both"/>
        <w:rPr>
          <w:rFonts w:ascii="Times New Roman" w:hAnsi="Times New Roman"/>
          <w:lang w:val="es-ES"/>
        </w:rPr>
      </w:pPr>
      <w:r>
        <w:rPr>
          <w:rFonts w:ascii="Times New Roman" w:hAnsi="Times New Roman"/>
        </w:rPr>
        <w:t xml:space="preserve">El de venta de la vivienda por el ascendiente al descendiente previa donación (o simultánea o posterior condonación) de la parte de precio correspondiente. En contra, para un beneficio análogo, la </w:t>
      </w:r>
      <w:hyperlink r:id="rId34" w:history="1">
        <w:r>
          <w:rPr>
            <w:rStyle w:val="Hipervnculo"/>
            <w:rFonts w:ascii="Times New Roman" w:hAnsi="Times New Roman"/>
          </w:rPr>
          <w:t>Sentencia del TSJ La Rioja de 7 de noviembre de 2013</w:t>
        </w:r>
      </w:hyperlink>
      <w:r>
        <w:rPr>
          <w:rFonts w:ascii="Times New Roman" w:hAnsi="Times New Roman"/>
        </w:rPr>
        <w:t xml:space="preserve"> (nº Roj </w:t>
      </w:r>
      <w:r>
        <w:rPr>
          <w:rFonts w:ascii="Times New Roman" w:hAnsi="Times New Roman"/>
          <w:lang w:val="es-ES"/>
        </w:rPr>
        <w:t>STSJ LR 429/2013)</w:t>
      </w:r>
      <w:r>
        <w:rPr>
          <w:rFonts w:ascii="Times New Roman" w:hAnsi="Times New Roman"/>
        </w:rPr>
        <w:t xml:space="preserve">, por entender que </w:t>
      </w:r>
      <w:r>
        <w:rPr>
          <w:rFonts w:ascii="Times New Roman" w:hAnsi="Times New Roman"/>
          <w:lang w:val="es-ES"/>
        </w:rPr>
        <w:t xml:space="preserve">las dos operaciones utilizadas, donación y compraventa, no tienen otra finalidad que la de producir un ahorro fiscal, siendo entonces de aplicación el llamado "conflicto en la aplicación de la norma tributaria" del </w:t>
      </w:r>
      <w:hyperlink r:id="rId35" w:anchor="a15" w:history="1">
        <w:r>
          <w:rPr>
            <w:rStyle w:val="Hipervnculo"/>
            <w:rFonts w:ascii="Times New Roman" w:hAnsi="Times New Roman"/>
            <w:lang w:val="es-ES"/>
          </w:rPr>
          <w:t>art. 15 LGT</w:t>
        </w:r>
      </w:hyperlink>
      <w:r>
        <w:rPr>
          <w:rFonts w:ascii="Times New Roman" w:hAnsi="Times New Roman"/>
          <w:lang w:val="es-ES"/>
        </w:rPr>
        <w:t>. Quizás podrían defenderse "los efectos jurídicos o económicos relevantes, distintos del ahorro fiscal" si el dinero donado y el inmueble transmitido tuvieran distinto carácter privativo o ganancial.</w:t>
      </w:r>
      <w:r>
        <w:rPr>
          <w:rFonts w:ascii="Times New Roman" w:hAnsi="Times New Roman"/>
          <w:lang w:val="es-ES"/>
        </w:rPr>
        <w:br/>
        <w:t xml:space="preserve">Recientemente la </w:t>
      </w:r>
      <w:hyperlink r:id="rId36" w:history="1">
        <w:r>
          <w:rPr>
            <w:rStyle w:val="Hipervnculo"/>
            <w:rFonts w:ascii="Times New Roman" w:hAnsi="Times New Roman"/>
            <w:lang w:val="es-ES"/>
          </w:rPr>
          <w:t>Consulta andaluza 8/2017</w:t>
        </w:r>
      </w:hyperlink>
      <w:r>
        <w:rPr>
          <w:rFonts w:ascii="Times New Roman" w:hAnsi="Times New Roman"/>
          <w:lang w:val="es-ES"/>
        </w:rPr>
        <w:t xml:space="preserve">, ha admitido la aplicación del beneficio fiscal al supuesto de </w:t>
      </w:r>
      <w:r>
        <w:rPr>
          <w:rFonts w:ascii="Times New Roman" w:hAnsi="Times New Roman"/>
        </w:rPr>
        <w:t xml:space="preserve">donación de dinero de padres a hijo para que éste adquiera la vivienda a sus progenitores (ojo, que el </w:t>
      </w:r>
      <w:hyperlink r:id="rId37" w:history="1">
        <w:r>
          <w:rPr>
            <w:rStyle w:val="Hipervnculo"/>
            <w:rFonts w:ascii="Times New Roman" w:hAnsi="Times New Roman"/>
          </w:rPr>
          <w:t>enlace</w:t>
        </w:r>
      </w:hyperlink>
      <w:r>
        <w:rPr>
          <w:rFonts w:ascii="Times New Roman" w:hAnsi="Times New Roman"/>
        </w:rPr>
        <w:t xml:space="preserve"> lleva a una consulta distinta y hay que localizarla al final).</w:t>
      </w:r>
    </w:p>
    <w:p w14:paraId="03DC82A4" w14:textId="77777777" w:rsidR="00C7604F" w:rsidRDefault="00C7604F" w:rsidP="00C854F8">
      <w:pPr>
        <w:pStyle w:val="Textonotaalfinal"/>
        <w:numPr>
          <w:ilvl w:val="0"/>
          <w:numId w:val="12"/>
        </w:numPr>
        <w:spacing w:line="200" w:lineRule="exact"/>
        <w:jc w:val="both"/>
        <w:rPr>
          <w:rFonts w:ascii="Times New Roman" w:hAnsi="Times New Roman"/>
        </w:rPr>
      </w:pPr>
      <w:r>
        <w:rPr>
          <w:rFonts w:ascii="Times New Roman" w:hAnsi="Times New Roman"/>
        </w:rPr>
        <w:t>El de donación dineraria cuya entrega se difiere en tantos plazos como cuotas del préstamo hipotecario han de satisfacer solidariamente ascendiente/s y descendiente, operando esa donación en la relación interna entre ascendiente/s y descendiente. Vamos, la típica compraventa por el hijo financiada mediante una subrogación en el préstamo hipotecario en la que se añade a los padres.</w:t>
      </w:r>
    </w:p>
    <w:p w14:paraId="3D8C7A89" w14:textId="77777777" w:rsidR="00C7604F" w:rsidRDefault="00C7604F" w:rsidP="00127A51">
      <w:pPr>
        <w:pStyle w:val="Textonotaalfinal"/>
        <w:spacing w:line="200" w:lineRule="exact"/>
        <w:ind w:left="344"/>
        <w:jc w:val="both"/>
        <w:rPr>
          <w:rFonts w:ascii="Times New Roman" w:hAnsi="Times New Roman"/>
        </w:rPr>
      </w:pPr>
      <w:r>
        <w:rPr>
          <w:rFonts w:ascii="Times New Roman" w:hAnsi="Times New Roman"/>
        </w:rPr>
        <w:t xml:space="preserve">Por el contrario, para la </w:t>
      </w:r>
      <w:hyperlink r:id="rId38" w:history="1">
        <w:r>
          <w:rPr>
            <w:rStyle w:val="Hipervnculo"/>
            <w:rFonts w:ascii="Times New Roman" w:hAnsi="Times New Roman"/>
          </w:rPr>
          <w:t>Consulta andaluza 1/2017</w:t>
        </w:r>
      </w:hyperlink>
      <w:r>
        <w:rPr>
          <w:rFonts w:ascii="Times New Roman" w:hAnsi="Times New Roman"/>
        </w:rPr>
        <w:t xml:space="preserve"> “</w:t>
      </w:r>
      <w:r>
        <w:rPr>
          <w:rFonts w:ascii="Times New Roman" w:hAnsi="Times New Roman"/>
          <w:i/>
        </w:rPr>
        <w:t>… El término adquisición de vivienda no engloba, a estos efectos, las donaciones de cantidades destinadas a los pagos parciales de hipoteca realizados tras la entrega de llaves…</w:t>
      </w:r>
      <w:r>
        <w:rPr>
          <w:rFonts w:ascii="Times New Roman" w:hAnsi="Times New Roman"/>
        </w:rPr>
        <w:t>”.</w:t>
      </w:r>
    </w:p>
    <w:p w14:paraId="5145B302" w14:textId="77777777" w:rsidR="00C7604F" w:rsidRDefault="00C7604F" w:rsidP="00127A51">
      <w:pPr>
        <w:pStyle w:val="Textonotaalfinal"/>
        <w:spacing w:line="200" w:lineRule="exact"/>
        <w:ind w:left="344"/>
        <w:jc w:val="both"/>
        <w:rPr>
          <w:rFonts w:ascii="Times New Roman" w:hAnsi="Times New Roman"/>
        </w:rPr>
      </w:pPr>
      <w:r>
        <w:rPr>
          <w:rFonts w:ascii="Times New Roman" w:hAnsi="Times New Roman"/>
        </w:rPr>
        <w:t>Mientras que para Asturias nos encontramos con el inconveniente de que “</w:t>
      </w:r>
      <w:r>
        <w:rPr>
          <w:rFonts w:ascii="Times New Roman" w:hAnsi="Times New Roman"/>
          <w:i/>
        </w:rPr>
        <w:t>… La reducción no se aplicará a donaciones de dinero posteriores a la compra de la vivienda…</w:t>
      </w:r>
      <w:r>
        <w:rPr>
          <w:rFonts w:ascii="Times New Roman" w:hAnsi="Times New Roman"/>
        </w:rPr>
        <w:t>”. Aunque podría decirse que la donación es anterior pero aplazada la entrega de las cantidades.</w:t>
      </w:r>
    </w:p>
    <w:p w14:paraId="79F13A60" w14:textId="77777777" w:rsidR="00C7604F" w:rsidRDefault="00C7604F" w:rsidP="00127A51">
      <w:pPr>
        <w:pStyle w:val="Textonotaalfinal"/>
        <w:spacing w:line="200" w:lineRule="exact"/>
        <w:ind w:left="344"/>
        <w:jc w:val="both"/>
        <w:rPr>
          <w:rFonts w:ascii="Times New Roman" w:hAnsi="Times New Roman"/>
        </w:rPr>
      </w:pPr>
      <w:r>
        <w:rPr>
          <w:rFonts w:ascii="Times New Roman" w:hAnsi="Times New Roman"/>
        </w:rPr>
        <w:t>Claro que si no se quiere arriesgar siempre se puede justificar la subrogación de los padres como préstamo dinerario hecho al hijo en tantos plazos como cuotas del préstamo bancario y que éste habrá de reembolsarles a su jubilación.</w:t>
      </w:r>
    </w:p>
    <w:p w14:paraId="36596F3C" w14:textId="77777777" w:rsidR="00C7604F" w:rsidRDefault="00C7604F" w:rsidP="00127A51">
      <w:pPr>
        <w:pStyle w:val="Textonotaalfinal"/>
        <w:spacing w:line="200" w:lineRule="exact"/>
        <w:ind w:left="60"/>
        <w:jc w:val="both"/>
        <w:rPr>
          <w:rFonts w:ascii="Times New Roman" w:hAnsi="Times New Roman"/>
          <w:lang w:val="es-ES"/>
        </w:rPr>
      </w:pPr>
    </w:p>
  </w:endnote>
  <w:endnote w:id="27">
    <w:p w14:paraId="200D1C1A" w14:textId="77777777" w:rsidR="00C7604F" w:rsidRDefault="00C7604F" w:rsidP="00127A51">
      <w:pPr>
        <w:pStyle w:val="Textonotaalfinal"/>
        <w:spacing w:line="200" w:lineRule="exact"/>
        <w:ind w:left="60"/>
        <w:jc w:val="both"/>
        <w:rPr>
          <w:rFonts w:ascii="Times New Roman" w:hAnsi="Times New Roman"/>
        </w:rPr>
      </w:pPr>
      <w:r>
        <w:rPr>
          <w:rStyle w:val="Refdenotaalfinal"/>
          <w:rFonts w:ascii="Times New Roman" w:hAnsi="Times New Roman"/>
        </w:rPr>
        <w:endnoteRef/>
      </w:r>
      <w:r>
        <w:rPr>
          <w:rFonts w:ascii="Times New Roman" w:hAnsi="Times New Roman"/>
        </w:rPr>
        <w:t>A diferencia de Galicia, en el caso de dos o más donaciones, nada se dice acerca de que la base de la reducción será el resultado de sumar el importe de todas ellas, sin que pueda exceder del límite indicado. Parece claro si provienen del mismo ascendiente y no tanto si provienen de distintos ascendientes.</w:t>
      </w:r>
    </w:p>
    <w:p w14:paraId="31FBD9FA" w14:textId="77777777" w:rsidR="00C7604F" w:rsidRDefault="00C7604F" w:rsidP="00127A51">
      <w:pPr>
        <w:pStyle w:val="Textonotaalfinal"/>
        <w:spacing w:line="200" w:lineRule="exact"/>
        <w:jc w:val="both"/>
        <w:rPr>
          <w:rFonts w:ascii="Times New Roman" w:hAnsi="Times New Roman"/>
        </w:rPr>
      </w:pPr>
    </w:p>
  </w:endnote>
  <w:endnote w:id="28">
    <w:p w14:paraId="25E61F11" w14:textId="77777777" w:rsidR="00C7604F" w:rsidRDefault="00C7604F" w:rsidP="00127A51">
      <w:pPr>
        <w:pStyle w:val="Textonotaalfinal"/>
        <w:spacing w:line="200" w:lineRule="exact"/>
        <w:jc w:val="both"/>
        <w:rPr>
          <w:rFonts w:ascii="Times New Roman" w:hAnsi="Times New Roman"/>
        </w:rPr>
      </w:pPr>
      <w:r>
        <w:rPr>
          <w:rStyle w:val="Refdenotaalfinal"/>
          <w:rFonts w:ascii="Times New Roman" w:hAnsi="Times New Roman"/>
        </w:rPr>
        <w:endnoteRef/>
      </w:r>
      <w:r>
        <w:rPr>
          <w:rFonts w:ascii="Times New Roman" w:hAnsi="Times New Roman"/>
        </w:rPr>
        <w:t xml:space="preserve"> Parece que, además de radicar la vivienda en Asturias, el donatario debe tener residencia fiscal asturiana, a los efectos de este impuesto, por haber permanecido un mayor número de días en el territorio de esta Comunidad durante los 5 años inmediatos anteriores, pues no olvidemos que la donación no es propiamente inmobiliaria sino dineraria (</w:t>
      </w:r>
      <w:hyperlink r:id="rId39" w:anchor="a28" w:history="1">
        <w:r>
          <w:rPr>
            <w:rStyle w:val="Hipervnculo"/>
            <w:rFonts w:ascii="Times New Roman" w:hAnsi="Times New Roman"/>
          </w:rPr>
          <w:t>arts. 28-1-1º-b y 32-2-c de la Ley 22/2009, de 18 de diciembre, reguladora del Sistema de financiación de las Comunidades Autónomas de régimen común y Ciudades con estatuto de Autonomía</w:t>
        </w:r>
      </w:hyperlink>
      <w:r>
        <w:rPr>
          <w:rFonts w:ascii="Times New Roman" w:hAnsi="Times New Roman"/>
        </w:rPr>
        <w:t>). Alguna duda podría surgir en el supuesto de que el sujeto pasivo hubiese tenido ya una vivienda habitual en otra Comunidad Autónoma.</w:t>
      </w:r>
    </w:p>
    <w:p w14:paraId="0842A173" w14:textId="77777777" w:rsidR="00C7604F" w:rsidRDefault="00C7604F" w:rsidP="00127A51">
      <w:pPr>
        <w:pStyle w:val="Textonotaalfinal"/>
        <w:spacing w:line="200" w:lineRule="exact"/>
        <w:rPr>
          <w:rFonts w:ascii="Times New Roman" w:hAnsi="Times New Roman"/>
        </w:rPr>
      </w:pPr>
    </w:p>
  </w:endnote>
  <w:endnote w:id="29">
    <w:p w14:paraId="7F387D2F" w14:textId="77777777" w:rsidR="00C7604F" w:rsidRDefault="00C7604F" w:rsidP="00127A51">
      <w:pPr>
        <w:pStyle w:val="Textonotaalfinal"/>
        <w:spacing w:line="200" w:lineRule="exact"/>
        <w:rPr>
          <w:rFonts w:ascii="Times New Roman" w:hAnsi="Times New Roman"/>
        </w:rPr>
      </w:pPr>
      <w:r>
        <w:rPr>
          <w:rStyle w:val="Refdenotaalfinal"/>
          <w:rFonts w:ascii="Times New Roman" w:hAnsi="Times New Roman"/>
        </w:rPr>
        <w:endnoteRef/>
      </w:r>
      <w:r>
        <w:rPr>
          <w:rFonts w:ascii="Times New Roman" w:hAnsi="Times New Roman"/>
        </w:rPr>
        <w:t xml:space="preserve"> Nos ceñiremos al supuesto usual en que la donación y compraventa sean simultáneas.</w:t>
      </w:r>
    </w:p>
    <w:p w14:paraId="35276E0F" w14:textId="77777777" w:rsidR="00C7604F" w:rsidRDefault="00C7604F" w:rsidP="00127A51">
      <w:pPr>
        <w:pStyle w:val="Textonotaalfinal"/>
        <w:spacing w:line="200" w:lineRule="exact"/>
        <w:jc w:val="both"/>
        <w:rPr>
          <w:rFonts w:ascii="Times New Roman" w:hAnsi="Times New Roman"/>
        </w:rPr>
      </w:pPr>
    </w:p>
  </w:endnote>
  <w:endnote w:id="30">
    <w:p w14:paraId="44B60433" w14:textId="77777777" w:rsidR="00C7604F" w:rsidRDefault="00C7604F" w:rsidP="00127A51">
      <w:pPr>
        <w:pStyle w:val="Textonotaalfinal"/>
        <w:spacing w:line="200" w:lineRule="exact"/>
        <w:jc w:val="both"/>
        <w:rPr>
          <w:rFonts w:ascii="Times New Roman" w:hAnsi="Times New Roman"/>
        </w:rPr>
      </w:pPr>
      <w:r>
        <w:rPr>
          <w:rStyle w:val="Refdenotaalfinal"/>
          <w:rFonts w:ascii="Times New Roman" w:hAnsi="Times New Roman"/>
        </w:rPr>
        <w:endnoteRef/>
      </w:r>
      <w:r>
        <w:rPr>
          <w:rFonts w:ascii="Times New Roman" w:hAnsi="Times New Roman"/>
        </w:rPr>
        <w:t xml:space="preserve"> En rigor habría que acreditar tal relación mediante la incorporación del testimonio del Libro de Familia o de la correspondiente certificación del Registro Civil.</w:t>
      </w:r>
    </w:p>
    <w:p w14:paraId="15CBEEB3" w14:textId="77777777" w:rsidR="00C7604F" w:rsidRDefault="00C7604F" w:rsidP="00127A51">
      <w:pPr>
        <w:pStyle w:val="Textonotaalfinal"/>
        <w:spacing w:line="200" w:lineRule="exact"/>
        <w:jc w:val="both"/>
        <w:rPr>
          <w:rFonts w:ascii="Times New Roman" w:hAnsi="Times New Roman"/>
          <w:lang w:val="es-ES"/>
        </w:rPr>
      </w:pPr>
    </w:p>
  </w:endnote>
  <w:endnote w:id="31">
    <w:p w14:paraId="4B90F828" w14:textId="77777777" w:rsidR="00B82540" w:rsidRPr="00B82540" w:rsidRDefault="00B82540" w:rsidP="00737B6A">
      <w:pPr>
        <w:pStyle w:val="Textonotaalfinal"/>
        <w:spacing w:line="200" w:lineRule="exact"/>
        <w:jc w:val="both"/>
        <w:rPr>
          <w:lang w:val="es-ES"/>
        </w:rPr>
      </w:pPr>
      <w:r>
        <w:rPr>
          <w:rStyle w:val="Refdenotaalfinal"/>
        </w:rPr>
        <w:endnoteRef/>
      </w:r>
      <w:r>
        <w:t xml:space="preserve"> La anterior redacción por la Ley 7/2017 del </w:t>
      </w:r>
      <w:r w:rsidRPr="00B82540">
        <w:t xml:space="preserve">art. 21-3 del Decreto-legislativo asturiano 2/2014 </w:t>
      </w:r>
      <w:r>
        <w:t xml:space="preserve"> decía que tal tarifa reducida “</w:t>
      </w:r>
      <w:r w:rsidRPr="00B82540">
        <w:rPr>
          <w:i/>
          <w:iCs/>
        </w:rPr>
        <w:t xml:space="preserve">... </w:t>
      </w:r>
      <w:r w:rsidRPr="00B82540">
        <w:rPr>
          <w:i/>
          <w:iCs/>
          <w:lang w:val="es-ES"/>
        </w:rPr>
        <w:t xml:space="preserve">No será aplicable a las segundas o ulteriores donaciones que se otorguen por un mismo donante a un mismo donatario dentro del plazo de diez años a contar desde la fecha de cada una, salvo que se produzca la acumulación de donaciones prevista en el </w:t>
      </w:r>
      <w:hyperlink r:id="rId40" w:anchor="a30" w:history="1">
        <w:r w:rsidRPr="00B82540">
          <w:rPr>
            <w:rStyle w:val="Hipervnculo"/>
            <w:i/>
            <w:iCs/>
            <w:lang w:val="es-ES"/>
          </w:rPr>
          <w:t>artículo 30 de la Ley del Impuesto sobre Sucesiones y Donaciones</w:t>
        </w:r>
      </w:hyperlink>
      <w:r w:rsidRPr="00B82540">
        <w:rPr>
          <w:i/>
          <w:iCs/>
          <w:lang w:val="es-ES"/>
        </w:rPr>
        <w:t>...</w:t>
      </w:r>
      <w:r>
        <w:rPr>
          <w:lang w:val="es-ES"/>
        </w:rPr>
        <w:t>”. Tal defectuosa redacción planteaba</w:t>
      </w:r>
      <w:r w:rsidRPr="00B82540">
        <w:rPr>
          <w:lang w:val="es-ES"/>
        </w:rPr>
        <w:t xml:space="preserve"> entonces ¿qué ocurr</w:t>
      </w:r>
      <w:r>
        <w:rPr>
          <w:lang w:val="es-ES"/>
        </w:rPr>
        <w:t>e</w:t>
      </w:r>
      <w:r w:rsidRPr="00B82540">
        <w:rPr>
          <w:lang w:val="es-ES"/>
        </w:rPr>
        <w:t xml:space="preserve"> si la segunda donación tiene lugar entre los 3 y los 10 años de la primera? Literalmente entendidos los preceptos no habría acumulación de donaciones pero a la segunda se le aplicaría la tarifa estatal.</w:t>
      </w:r>
    </w:p>
    <w:p w14:paraId="138CFA0A" w14:textId="77777777" w:rsidR="00B82540" w:rsidRPr="00B82540" w:rsidRDefault="00B82540" w:rsidP="00737B6A">
      <w:pPr>
        <w:pStyle w:val="Textonotaalfinal"/>
        <w:spacing w:line="200" w:lineRule="exact"/>
        <w:rPr>
          <w:lang w:val="es-ES"/>
        </w:rPr>
      </w:pPr>
    </w:p>
  </w:endnote>
  <w:endnote w:id="32">
    <w:p w14:paraId="22610D81" w14:textId="77777777" w:rsidR="00C7604F" w:rsidRDefault="00C7604F" w:rsidP="00127A51">
      <w:pPr>
        <w:pStyle w:val="Textonotaalfinal"/>
        <w:spacing w:line="200" w:lineRule="exact"/>
        <w:jc w:val="both"/>
      </w:pPr>
      <w:r>
        <w:rPr>
          <w:rStyle w:val="Refdenotaalfinal"/>
        </w:rPr>
        <w:endnoteRef/>
      </w:r>
      <w:r>
        <w:t xml:space="preserve"> Se excluye expresamente el supuesto anteriormente reseñado relativo a sociedades de mera gestión de un patrimonio.</w:t>
      </w:r>
    </w:p>
    <w:p w14:paraId="004FC65D" w14:textId="77777777" w:rsidR="00C7604F" w:rsidRDefault="00C7604F" w:rsidP="00127A51">
      <w:pPr>
        <w:pStyle w:val="Textonotaalfinal"/>
        <w:spacing w:line="200" w:lineRule="exact"/>
        <w:jc w:val="both"/>
        <w:rPr>
          <w:lang w:val="es-ES"/>
        </w:rPr>
      </w:pPr>
    </w:p>
  </w:endnote>
  <w:endnote w:id="33">
    <w:p w14:paraId="0F798F9E" w14:textId="77777777" w:rsidR="00C7604F" w:rsidRDefault="00C7604F" w:rsidP="00127A51">
      <w:pPr>
        <w:pStyle w:val="Textonotaalfinal"/>
        <w:spacing w:line="200" w:lineRule="exact"/>
        <w:jc w:val="both"/>
        <w:rPr>
          <w:bCs/>
          <w:iCs/>
          <w:lang w:val="es-ES"/>
        </w:rPr>
      </w:pPr>
      <w:r>
        <w:rPr>
          <w:rStyle w:val="Refdenotaalfinal"/>
        </w:rPr>
        <w:endnoteRef/>
      </w:r>
      <w:r>
        <w:t xml:space="preserve"> </w:t>
      </w:r>
      <w:r>
        <w:rPr>
          <w:bCs/>
          <w:iCs/>
          <w:lang w:val="es-ES"/>
        </w:rPr>
        <w:t>Mejoran y sustituyen a las estatales.</w:t>
      </w:r>
    </w:p>
    <w:p w14:paraId="45874BDC" w14:textId="77777777" w:rsidR="00C7604F" w:rsidRDefault="00C7604F" w:rsidP="00127A51">
      <w:pPr>
        <w:pStyle w:val="Textonotaalfinal"/>
        <w:spacing w:line="200" w:lineRule="exact"/>
        <w:jc w:val="both"/>
        <w:rPr>
          <w:lang w:val="es-ES"/>
        </w:rPr>
      </w:pPr>
    </w:p>
  </w:endnote>
  <w:endnote w:id="34">
    <w:p w14:paraId="72760640" w14:textId="77777777" w:rsidR="00C7604F" w:rsidRDefault="00C7604F" w:rsidP="00127A51">
      <w:pPr>
        <w:pStyle w:val="Textonotaalfinal"/>
        <w:spacing w:line="200" w:lineRule="exact"/>
        <w:jc w:val="both"/>
        <w:rPr>
          <w:bCs/>
          <w:lang w:val="es-ES"/>
        </w:rPr>
      </w:pPr>
      <w:r>
        <w:rPr>
          <w:rStyle w:val="Refdenotaalfinal"/>
        </w:rPr>
        <w:endnoteRef/>
      </w:r>
      <w:r>
        <w:t xml:space="preserve"> Escala entre el 95-99% que introducida por la </w:t>
      </w:r>
      <w:hyperlink r:id="rId41" w:history="1">
        <w:r>
          <w:rPr>
            <w:rStyle w:val="Hipervnculo"/>
            <w:bCs/>
            <w:lang w:val="es-ES"/>
          </w:rPr>
          <w:t>Ley asturiana 6/2003</w:t>
        </w:r>
      </w:hyperlink>
      <w:r>
        <w:rPr>
          <w:bCs/>
          <w:lang w:val="es-ES"/>
        </w:rPr>
        <w:t>, para Sucesiones a partir del 1 de enero de 2004, en sustitución de la reducción estatal del 95%.</w:t>
      </w:r>
    </w:p>
    <w:p w14:paraId="34DAB4AB" w14:textId="77777777" w:rsidR="00C7604F" w:rsidRDefault="00C7604F" w:rsidP="00127A51">
      <w:pPr>
        <w:pStyle w:val="Textonotaalfinal"/>
        <w:spacing w:line="200" w:lineRule="exact"/>
        <w:jc w:val="both"/>
        <w:rPr>
          <w:lang w:val="es-ES"/>
        </w:rPr>
      </w:pPr>
    </w:p>
  </w:endnote>
  <w:endnote w:id="35">
    <w:p w14:paraId="4551E1DB" w14:textId="77777777" w:rsidR="00C7604F" w:rsidRDefault="00C7604F" w:rsidP="00585CB9">
      <w:pPr>
        <w:pStyle w:val="Textonotaalfinal"/>
        <w:spacing w:line="200" w:lineRule="exact"/>
        <w:jc w:val="both"/>
        <w:rPr>
          <w:rFonts w:ascii="Times New Roman" w:hAnsi="Times New Roman"/>
          <w:lang w:val="es-ES"/>
        </w:rPr>
      </w:pPr>
      <w:r>
        <w:rPr>
          <w:rStyle w:val="Refdenotaalfinal"/>
          <w:rFonts w:ascii="Times New Roman" w:hAnsi="Times New Roman"/>
        </w:rPr>
        <w:endnoteRef/>
      </w:r>
      <w:r>
        <w:rPr>
          <w:rFonts w:ascii="Times New Roman" w:hAnsi="Times New Roman"/>
        </w:rPr>
        <w:t xml:space="preserve"> </w:t>
      </w:r>
      <w:r>
        <w:rPr>
          <w:rFonts w:ascii="Times New Roman" w:hAnsi="Times New Roman"/>
          <w:lang w:val="es-ES"/>
        </w:rPr>
        <w:t xml:space="preserve">Como advierte la </w:t>
      </w:r>
      <w:hyperlink r:id="rId42" w:history="1">
        <w:r>
          <w:rPr>
            <w:rStyle w:val="Hipervnculo"/>
            <w:rFonts w:ascii="Times New Roman" w:hAnsi="Times New Roman"/>
            <w:lang w:val="es-ES"/>
          </w:rPr>
          <w:t>Resolución DGT 2/1999</w:t>
        </w:r>
      </w:hyperlink>
      <w:r>
        <w:rPr>
          <w:rFonts w:ascii="Times New Roman" w:hAnsi="Times New Roman"/>
          <w:lang w:val="es-ES"/>
        </w:rPr>
        <w:t xml:space="preserve">, </w:t>
      </w:r>
      <w:r>
        <w:rPr>
          <w:rFonts w:ascii="Times New Roman" w:hAnsi="Times New Roman"/>
          <w:i/>
        </w:rPr>
        <w:t xml:space="preserve">"... </w:t>
      </w:r>
      <w:r>
        <w:rPr>
          <w:rFonts w:ascii="Times New Roman" w:hAnsi="Times New Roman"/>
          <w:i/>
          <w:lang w:val="es-ES"/>
        </w:rPr>
        <w:t>Si, como consecuencia de la disolución del régimen económico de gananciales, se atribuye al causante la mitad de la vivienda habitual sólo se aplicará la reducción sobre dicha mitad. Si, por el contrario, se atribuye a aquél la totalidad de la vivienda habitual, la reducción operará sobre el valor total de la misma...</w:t>
      </w:r>
      <w:r>
        <w:rPr>
          <w:rFonts w:ascii="Times New Roman" w:hAnsi="Times New Roman"/>
          <w:lang w:val="es-ES"/>
        </w:rPr>
        <w:t>".</w:t>
      </w:r>
    </w:p>
    <w:p w14:paraId="71527150" w14:textId="77777777" w:rsidR="00C7604F" w:rsidRDefault="00C7604F" w:rsidP="00585CB9">
      <w:pPr>
        <w:pStyle w:val="Textonotaalfinal"/>
        <w:spacing w:line="200" w:lineRule="exact"/>
        <w:rPr>
          <w:rFonts w:ascii="Times New Roman" w:hAnsi="Times New Roman"/>
        </w:rPr>
      </w:pPr>
    </w:p>
  </w:endnote>
  <w:endnote w:id="36">
    <w:p w14:paraId="02D1F357" w14:textId="77777777" w:rsidR="00C7604F" w:rsidRDefault="00C7604F" w:rsidP="00585CB9">
      <w:pPr>
        <w:pStyle w:val="Textonotaalfinal"/>
        <w:spacing w:line="200" w:lineRule="exact"/>
        <w:jc w:val="both"/>
        <w:rPr>
          <w:lang w:val="es-ES"/>
        </w:rPr>
      </w:pPr>
      <w:r>
        <w:rPr>
          <w:rStyle w:val="Refdenotaalfinal"/>
        </w:rPr>
        <w:endnoteRef/>
      </w:r>
      <w:r>
        <w:t xml:space="preserve"> Para e</w:t>
      </w:r>
      <w:r w:rsidRPr="00585CB9">
        <w:rPr>
          <w:lang w:val="es-ES"/>
        </w:rPr>
        <w:t xml:space="preserve">l </w:t>
      </w:r>
      <w:hyperlink r:id="rId43" w:anchor="a41" w:history="1">
        <w:r w:rsidRPr="00E52D34">
          <w:rPr>
            <w:rStyle w:val="Hipervnculo"/>
            <w:lang w:val="es-ES"/>
          </w:rPr>
          <w:t>artículo 41 bis del Reglamento del IRPF</w:t>
        </w:r>
      </w:hyperlink>
      <w:r>
        <w:rPr>
          <w:lang w:val="es-ES"/>
        </w:rPr>
        <w:t xml:space="preserve"> "</w:t>
      </w:r>
      <w:r w:rsidRPr="00585CB9">
        <w:rPr>
          <w:i/>
          <w:lang w:val="es-ES"/>
        </w:rPr>
        <w:t>... se considera vivienda habitual del contribuyente la edificación que constituya su residencia durante un plazo continuado de, al menos, tres años. No obstante, se entenderá que la vivienda tuvo el carácter de habitual cuando, a pesar de no haber transcurrido dicho plazo, se produzca el fallecimiento del contribuyente o concurran otras circunstancias que necesariamente exijan el cambio de domicilio, tales como celebración de matrimonio, separación matrimonial, traslado laboral, obtención del primer empleo, o cambio de empleo, u otras análogas justificadas...</w:t>
      </w:r>
      <w:r w:rsidRPr="00585CB9">
        <w:rPr>
          <w:lang w:val="es-ES"/>
        </w:rPr>
        <w:t>".</w:t>
      </w:r>
    </w:p>
    <w:p w14:paraId="4B710C06" w14:textId="77777777" w:rsidR="00C7604F" w:rsidRPr="00585CB9" w:rsidRDefault="00C7604F" w:rsidP="00585CB9">
      <w:pPr>
        <w:pStyle w:val="Textonotaalfinal"/>
        <w:spacing w:line="200" w:lineRule="exact"/>
        <w:jc w:val="both"/>
        <w:rPr>
          <w:lang w:val="es-ES"/>
        </w:rPr>
      </w:pPr>
      <w:r>
        <w:rPr>
          <w:lang w:val="es-ES"/>
        </w:rPr>
        <w:t xml:space="preserve">Dentro de estas circunstancias análogas justificadas, incluyen la </w:t>
      </w:r>
      <w:hyperlink r:id="rId44" w:history="1">
        <w:r w:rsidRPr="00886001">
          <w:rPr>
            <w:rStyle w:val="Hipervnculo"/>
            <w:lang w:val="es-ES"/>
          </w:rPr>
          <w:t>Sentencia del Tribunal Supremo de 12 de mayo de 2017</w:t>
        </w:r>
      </w:hyperlink>
      <w:r>
        <w:rPr>
          <w:lang w:val="es-ES"/>
        </w:rPr>
        <w:t xml:space="preserve"> y la </w:t>
      </w:r>
      <w:hyperlink r:id="rId45" w:history="1">
        <w:r w:rsidRPr="00800FE4">
          <w:rPr>
            <w:rStyle w:val="Hipervnculo"/>
            <w:lang w:val="es-ES"/>
          </w:rPr>
          <w:t xml:space="preserve">Sentencia </w:t>
        </w:r>
        <w:r>
          <w:rPr>
            <w:rStyle w:val="Hipervnculo"/>
            <w:lang w:val="es-ES"/>
          </w:rPr>
          <w:t>del Tribunal Superior de Justicia de</w:t>
        </w:r>
        <w:r w:rsidRPr="00800FE4">
          <w:rPr>
            <w:rStyle w:val="Hipervnculo"/>
            <w:lang w:val="es-ES"/>
          </w:rPr>
          <w:t xml:space="preserve"> Asturias de 16 de julio de 2018</w:t>
        </w:r>
      </w:hyperlink>
      <w:r>
        <w:rPr>
          <w:lang w:val="es-ES"/>
        </w:rPr>
        <w:t xml:space="preserve"> el traslado por motivos de salud y fallecimiento</w:t>
      </w:r>
      <w:r w:rsidRPr="00585CB9">
        <w:rPr>
          <w:lang w:val="es-ES"/>
        </w:rPr>
        <w:t xml:space="preserve"> en un centro geriátrico</w:t>
      </w:r>
      <w:r>
        <w:rPr>
          <w:lang w:val="es-ES"/>
        </w:rPr>
        <w:t xml:space="preserve"> o en la vivienda de un pariente, sin haber residido en la</w:t>
      </w:r>
      <w:r w:rsidRPr="00585CB9">
        <w:rPr>
          <w:lang w:val="es-ES"/>
        </w:rPr>
        <w:t xml:space="preserve"> vivienda habitu</w:t>
      </w:r>
      <w:r>
        <w:rPr>
          <w:lang w:val="es-ES"/>
        </w:rPr>
        <w:t>al en los tres años inmediatamente anteriores.</w:t>
      </w:r>
    </w:p>
    <w:p w14:paraId="4AE71D98" w14:textId="77777777" w:rsidR="00C7604F" w:rsidRDefault="00C7604F" w:rsidP="00585CB9">
      <w:pPr>
        <w:pStyle w:val="Textonotaalfinal"/>
        <w:spacing w:line="200" w:lineRule="exact"/>
      </w:pPr>
    </w:p>
  </w:endnote>
  <w:endnote w:id="37">
    <w:p w14:paraId="1F6731C7" w14:textId="77777777" w:rsidR="00C7604F" w:rsidRDefault="00C7604F" w:rsidP="00585CB9">
      <w:pPr>
        <w:pStyle w:val="Textonotaalfinal"/>
        <w:spacing w:line="200" w:lineRule="exact"/>
        <w:jc w:val="both"/>
        <w:rPr>
          <w:rFonts w:ascii="Times New Roman" w:hAnsi="Times New Roman"/>
        </w:rPr>
      </w:pPr>
      <w:r>
        <w:rPr>
          <w:rStyle w:val="Refdenotaalfinal"/>
          <w:rFonts w:ascii="Times New Roman" w:hAnsi="Times New Roman"/>
        </w:rPr>
        <w:endnoteRef/>
      </w:r>
      <w:r>
        <w:rPr>
          <w:rFonts w:ascii="Times New Roman" w:hAnsi="Times New Roman"/>
        </w:rPr>
        <w:t xml:space="preserve"> Entienden tales autores que debe limitarse a la colateralidad por consanguinidad hasta el tercer grado, que es el límite de la reducción general por parentesco.</w:t>
      </w:r>
    </w:p>
    <w:p w14:paraId="54ED65CD" w14:textId="77777777" w:rsidR="00C7604F" w:rsidRDefault="00C7604F" w:rsidP="00585CB9">
      <w:pPr>
        <w:pStyle w:val="Textonotaalfinal"/>
        <w:spacing w:line="200" w:lineRule="exact"/>
        <w:rPr>
          <w:rFonts w:ascii="Times New Roman" w:hAnsi="Times New Roman"/>
          <w:lang w:val="es-ES"/>
        </w:rPr>
      </w:pPr>
    </w:p>
  </w:endnote>
  <w:endnote w:id="38">
    <w:p w14:paraId="32674064" w14:textId="77777777" w:rsidR="00C7604F" w:rsidRDefault="00C7604F" w:rsidP="00585CB9">
      <w:pPr>
        <w:pStyle w:val="Textonotaalfinal"/>
        <w:spacing w:line="200" w:lineRule="exact"/>
        <w:jc w:val="both"/>
        <w:rPr>
          <w:rFonts w:ascii="Times New Roman" w:hAnsi="Times New Roman"/>
        </w:rPr>
      </w:pPr>
      <w:r>
        <w:rPr>
          <w:rStyle w:val="Refdenotaalfinal"/>
          <w:rFonts w:ascii="Times New Roman" w:hAnsi="Times New Roman"/>
        </w:rPr>
        <w:endnoteRef/>
      </w:r>
      <w:r>
        <w:rPr>
          <w:rFonts w:ascii="Times New Roman" w:hAnsi="Times New Roman"/>
        </w:rPr>
        <w:t xml:space="preserve"> Como ponen de manifiesto dichos autores, nada se dice de que el adquirente destine la vivienda a su residencia habitual.</w:t>
      </w:r>
    </w:p>
    <w:p w14:paraId="3E1E0AC7" w14:textId="77777777" w:rsidR="00C7604F" w:rsidRDefault="00C7604F" w:rsidP="00127A51">
      <w:pPr>
        <w:pStyle w:val="Textonotaalfinal"/>
        <w:spacing w:line="200" w:lineRule="exact"/>
        <w:jc w:val="both"/>
        <w:rPr>
          <w:rFonts w:ascii="Times New Roman" w:hAnsi="Times New Roman"/>
          <w:lang w:val="es-ES"/>
        </w:rPr>
      </w:pPr>
    </w:p>
  </w:endnote>
  <w:endnote w:id="39">
    <w:p w14:paraId="219054F4" w14:textId="77777777" w:rsidR="00C7604F" w:rsidRDefault="00C7604F" w:rsidP="00127A51">
      <w:pPr>
        <w:pStyle w:val="Textonotaalfinal"/>
        <w:spacing w:line="200" w:lineRule="exact"/>
        <w:rPr>
          <w:rFonts w:ascii="Times New Roman" w:hAnsi="Times New Roman"/>
        </w:rPr>
      </w:pPr>
      <w:r>
        <w:rPr>
          <w:rStyle w:val="Refdenotaalfinal"/>
          <w:rFonts w:ascii="Times New Roman" w:hAnsi="Times New Roman"/>
        </w:rPr>
        <w:endnoteRef/>
      </w:r>
      <w:r>
        <w:rPr>
          <w:rFonts w:ascii="Times New Roman" w:hAnsi="Times New Roman"/>
        </w:rPr>
        <w:t xml:space="preserve"> En vez de los 10 años que prevé la legislación estatal.</w:t>
      </w:r>
    </w:p>
    <w:p w14:paraId="3917D441" w14:textId="77777777" w:rsidR="00C7604F" w:rsidRDefault="00C7604F" w:rsidP="00127A51">
      <w:pPr>
        <w:pStyle w:val="Textonotaalfinal"/>
        <w:spacing w:line="200" w:lineRule="exact"/>
        <w:rPr>
          <w:rFonts w:ascii="Times New Roman" w:hAnsi="Times New Roman"/>
          <w:lang w:val="es-ES"/>
        </w:rPr>
      </w:pPr>
    </w:p>
  </w:endnote>
  <w:endnote w:id="40">
    <w:p w14:paraId="6236A39E" w14:textId="77777777" w:rsidR="00C7604F" w:rsidRDefault="00C7604F" w:rsidP="00127A51">
      <w:pPr>
        <w:pStyle w:val="Textonotaalfinal"/>
        <w:spacing w:line="200" w:lineRule="exact"/>
        <w:jc w:val="both"/>
        <w:rPr>
          <w:rFonts w:ascii="Times New Roman" w:hAnsi="Times New Roman"/>
        </w:rPr>
      </w:pPr>
      <w:r>
        <w:rPr>
          <w:rStyle w:val="Refdenotaalfinal"/>
          <w:rFonts w:ascii="Times New Roman" w:hAnsi="Times New Roman"/>
        </w:rPr>
        <w:endnoteRef/>
      </w:r>
      <w:r>
        <w:rPr>
          <w:rFonts w:ascii="Times New Roman" w:hAnsi="Times New Roman"/>
        </w:rPr>
        <w:t xml:space="preserve"> Según tales autores (con fundamento en diversas consultas a la DGT), no incumplen el requisito del mantenimiento de la adquisición:</w:t>
      </w:r>
    </w:p>
    <w:p w14:paraId="652FD4B7" w14:textId="77777777" w:rsidR="00C7604F" w:rsidRDefault="00C7604F" w:rsidP="00127A51">
      <w:pPr>
        <w:pStyle w:val="Textonotaalfinal"/>
        <w:numPr>
          <w:ilvl w:val="0"/>
          <w:numId w:val="1"/>
        </w:numPr>
        <w:spacing w:line="200" w:lineRule="exact"/>
        <w:jc w:val="both"/>
        <w:rPr>
          <w:rFonts w:ascii="Times New Roman" w:hAnsi="Times New Roman"/>
        </w:rPr>
      </w:pPr>
      <w:r>
        <w:rPr>
          <w:rFonts w:ascii="Times New Roman" w:hAnsi="Times New Roman"/>
        </w:rPr>
        <w:t>La constitución a favor de un tercero de un derecho real de uso o disfrute.</w:t>
      </w:r>
    </w:p>
    <w:p w14:paraId="77005508" w14:textId="77777777" w:rsidR="00C7604F" w:rsidRDefault="00C7604F" w:rsidP="00127A51">
      <w:pPr>
        <w:pStyle w:val="Textonotaalfinal"/>
        <w:numPr>
          <w:ilvl w:val="0"/>
          <w:numId w:val="1"/>
        </w:numPr>
        <w:spacing w:line="200" w:lineRule="exact"/>
        <w:jc w:val="both"/>
        <w:rPr>
          <w:rFonts w:ascii="Times New Roman" w:hAnsi="Times New Roman"/>
        </w:rPr>
      </w:pPr>
      <w:r>
        <w:rPr>
          <w:rFonts w:ascii="Times New Roman" w:hAnsi="Times New Roman"/>
        </w:rPr>
        <w:t>La constitución de hipoteca siempre que no se ejecute.</w:t>
      </w:r>
    </w:p>
    <w:p w14:paraId="62CB0AF7" w14:textId="77777777" w:rsidR="00C7604F" w:rsidRDefault="00C7604F" w:rsidP="00127A51">
      <w:pPr>
        <w:pStyle w:val="Textonotaalfinal"/>
        <w:numPr>
          <w:ilvl w:val="0"/>
          <w:numId w:val="1"/>
        </w:numPr>
        <w:spacing w:line="200" w:lineRule="exact"/>
        <w:jc w:val="both"/>
        <w:rPr>
          <w:rFonts w:ascii="Times New Roman" w:hAnsi="Times New Roman"/>
        </w:rPr>
      </w:pPr>
      <w:r>
        <w:rPr>
          <w:rFonts w:ascii="Times New Roman" w:hAnsi="Times New Roman"/>
        </w:rPr>
        <w:t>La transmisión dentro del círculo de sucesores con derecho a reducción, siempre que no hubiese habido asignación particular por el causante.</w:t>
      </w:r>
    </w:p>
    <w:p w14:paraId="227097B3" w14:textId="77777777" w:rsidR="00C7604F" w:rsidRDefault="00C7604F" w:rsidP="00127A51">
      <w:pPr>
        <w:pStyle w:val="Textonotaalfinal"/>
        <w:numPr>
          <w:ilvl w:val="0"/>
          <w:numId w:val="1"/>
        </w:numPr>
        <w:spacing w:line="200" w:lineRule="exact"/>
        <w:jc w:val="both"/>
        <w:rPr>
          <w:rFonts w:ascii="Times New Roman" w:hAnsi="Times New Roman"/>
        </w:rPr>
      </w:pPr>
      <w:r>
        <w:rPr>
          <w:rFonts w:ascii="Times New Roman" w:hAnsi="Times New Roman"/>
        </w:rPr>
        <w:t>La venta de la vivienda y reinversión en otra de igual o mayor valor.</w:t>
      </w:r>
    </w:p>
    <w:p w14:paraId="54786C11" w14:textId="77777777" w:rsidR="00C7604F" w:rsidRDefault="00C7604F" w:rsidP="00127A51">
      <w:pPr>
        <w:pStyle w:val="Textonotaalfinal"/>
        <w:spacing w:line="200" w:lineRule="exact"/>
        <w:jc w:val="both"/>
        <w:rPr>
          <w:rFonts w:ascii="Times New Roman" w:hAnsi="Times New Roman"/>
        </w:rPr>
      </w:pPr>
      <w:r>
        <w:rPr>
          <w:rFonts w:ascii="Times New Roman" w:hAnsi="Times New Roman"/>
        </w:rPr>
        <w:t>No obstante, la específica normativa gallega dispone "</w:t>
      </w:r>
      <w:r>
        <w:rPr>
          <w:rFonts w:ascii="Times New Roman" w:hAnsi="Times New Roman"/>
          <w:i/>
        </w:rPr>
        <w:t xml:space="preserve">... Las personas adquirentes deberán mantener la vivienda adquirida durante los cinco años siguientes al devengo del impuesto, salvo que dentro de dicho plazo falleciese la persona adquirente o transmitiese la vivienda en virtud de pacto sucesorio con arreglo a lo previsto en la </w:t>
      </w:r>
      <w:hyperlink r:id="rId46" w:history="1">
        <w:r>
          <w:rPr>
            <w:rStyle w:val="Hipervnculo"/>
            <w:rFonts w:ascii="Times New Roman" w:hAnsi="Times New Roman"/>
            <w:i/>
          </w:rPr>
          <w:t>Ley de derecho civil de Galicia</w:t>
        </w:r>
      </w:hyperlink>
      <w:r>
        <w:rPr>
          <w:rFonts w:ascii="Times New Roman" w:hAnsi="Times New Roman"/>
          <w:i/>
        </w:rPr>
        <w:t>. En caso de que se produjese la venta de la vivienda durante el indicado plazo y la totalidad de su importe se reinvierta en la adquisición de una vivienda ubicada en Galicia que constituya o vaya a constituir la vivienda habitual de la persona adquirente, no se perderá la reducción solicitada...</w:t>
      </w:r>
      <w:r>
        <w:rPr>
          <w:rFonts w:ascii="Times New Roman" w:hAnsi="Times New Roman"/>
        </w:rPr>
        <w:t>".</w:t>
      </w:r>
    </w:p>
    <w:p w14:paraId="2AD6B14D" w14:textId="77777777" w:rsidR="00C7604F" w:rsidRDefault="00C7604F" w:rsidP="00127A51">
      <w:pPr>
        <w:spacing w:line="200" w:lineRule="exact"/>
        <w:ind w:firstLine="360"/>
        <w:jc w:val="both"/>
        <w:rPr>
          <w:rFonts w:ascii="Times New Roman" w:hAnsi="Times New Roman"/>
          <w:b/>
        </w:rPr>
      </w:pPr>
    </w:p>
  </w:endnote>
  <w:endnote w:id="41">
    <w:p w14:paraId="095CAABF" w14:textId="77777777" w:rsidR="00C7604F" w:rsidRDefault="00C7604F" w:rsidP="00127A51">
      <w:pPr>
        <w:pStyle w:val="Textonotaalfinal"/>
        <w:spacing w:line="200" w:lineRule="exact"/>
        <w:jc w:val="both"/>
        <w:rPr>
          <w:rFonts w:ascii="Times New Roman" w:hAnsi="Times New Roman"/>
        </w:rPr>
      </w:pPr>
      <w:r>
        <w:rPr>
          <w:rStyle w:val="Refdenotaalfinal"/>
        </w:rPr>
        <w:endnoteRef/>
      </w:r>
      <w:r>
        <w:t xml:space="preserve"> </w:t>
      </w:r>
      <w:r>
        <w:rPr>
          <w:rFonts w:ascii="Times New Roman" w:hAnsi="Times New Roman"/>
        </w:rPr>
        <w:t>Si bien nada se dice expresamente del límite estatal por causahabiente de 122.606,47 € para cada sujeto pasivo. Recordemos que la reducción, salvo que hubiese habido asignación particular por el causante, no corresponde en exclusiva al adjudicatario sino que se prorratea entra los sujetos pasivos (siempre que estén dentro del círculo de sucesores con derecho a reducción) en proporción a su haber; y que en tal caso, el incumplimiento del requisito de mantenimiento por el adjudicatario determinará la perdida de la reducción para todos los que se hubiesen beneficiado (Javier Juárez González y Juan Galiano Estevan, "Todo Sucesiones", editorial CISS. Magnífico libro, al igual que el "Todo Transmisiones" del primero, de donde saco también algunas de las notas siguientes).</w:t>
      </w:r>
    </w:p>
    <w:p w14:paraId="430F17B6" w14:textId="77777777" w:rsidR="00C7604F" w:rsidRDefault="00C7604F" w:rsidP="00127A51">
      <w:pPr>
        <w:pStyle w:val="Textonotaalfinal"/>
        <w:spacing w:line="200" w:lineRule="exact"/>
        <w:rPr>
          <w:lang w:val="es-ES"/>
        </w:rPr>
      </w:pPr>
    </w:p>
  </w:endnote>
  <w:endnote w:id="42">
    <w:p w14:paraId="350D6F0B" w14:textId="77777777" w:rsidR="00C7604F" w:rsidRDefault="00C7604F" w:rsidP="00127A51">
      <w:pPr>
        <w:pStyle w:val="Textonotaalfinal"/>
        <w:spacing w:line="200" w:lineRule="exact"/>
        <w:jc w:val="both"/>
      </w:pPr>
      <w:r>
        <w:rPr>
          <w:rStyle w:val="Refdenotaalfinal"/>
        </w:rPr>
        <w:endnoteRef/>
      </w:r>
      <w:r>
        <w:t xml:space="preserve"> Según el </w:t>
      </w:r>
      <w:hyperlink r:id="rId47" w:anchor="a17" w:history="1">
        <w:r>
          <w:rPr>
            <w:rStyle w:val="Hipervnculo"/>
          </w:rPr>
          <w:t>art. 18-2 del Decreto-legislativo asturiano 2/2014</w:t>
        </w:r>
      </w:hyperlink>
      <w:r>
        <w:t>, “</w:t>
      </w:r>
      <w:r>
        <w:rPr>
          <w:i/>
        </w:rPr>
        <w:t>… La reducción prevista en este artículo será compatible, para una misma adquisición, con la aplicación de las reducciones previstas en el artículo 20.2.c) de la Ley del Impuesto sobre Sucesiones y Donaciones y se aplicará con posterioridad a las mismas…</w:t>
      </w:r>
      <w:r>
        <w:t>”.</w:t>
      </w:r>
    </w:p>
    <w:p w14:paraId="5F69CF3D" w14:textId="77777777" w:rsidR="00C7604F" w:rsidRDefault="00C7604F" w:rsidP="00127A51">
      <w:pPr>
        <w:pStyle w:val="Textonotaalfinal"/>
        <w:spacing w:line="200" w:lineRule="exact"/>
        <w:jc w:val="both"/>
        <w:rPr>
          <w:lang w:val="es-ES"/>
        </w:rPr>
      </w:pPr>
    </w:p>
  </w:endnote>
  <w:endnote w:id="43">
    <w:p w14:paraId="7940339E" w14:textId="77777777" w:rsidR="00C7604F" w:rsidRDefault="00C7604F" w:rsidP="00127A51">
      <w:pPr>
        <w:pStyle w:val="Textonotaalfinal"/>
        <w:spacing w:line="200" w:lineRule="exact"/>
        <w:jc w:val="both"/>
      </w:pPr>
      <w:r>
        <w:rPr>
          <w:rStyle w:val="Refdenotaalfinal"/>
        </w:rPr>
        <w:endnoteRef/>
      </w:r>
      <w:r>
        <w:t xml:space="preserve"> A diferencia, por ejemplo, de Galicia, nada se dice de que se hayan ejercido efectivamente las actividades durante los 2 años anteriores al devengo.</w:t>
      </w:r>
    </w:p>
    <w:p w14:paraId="2F093A26" w14:textId="77777777" w:rsidR="00C7604F" w:rsidRDefault="00C7604F" w:rsidP="00127A51">
      <w:pPr>
        <w:pStyle w:val="Textonotaalfinal"/>
        <w:spacing w:line="200" w:lineRule="exact"/>
        <w:jc w:val="both"/>
        <w:rPr>
          <w:lang w:val="es-ES"/>
        </w:rPr>
      </w:pPr>
    </w:p>
  </w:endnote>
  <w:endnote w:id="44">
    <w:p w14:paraId="10088020" w14:textId="77777777" w:rsidR="00C7604F" w:rsidRDefault="00C7604F" w:rsidP="00127A51">
      <w:pPr>
        <w:pStyle w:val="Textonotaalfinal"/>
        <w:spacing w:line="200" w:lineRule="exact"/>
        <w:jc w:val="both"/>
        <w:rPr>
          <w:rFonts w:ascii="Times New Roman" w:hAnsi="Times New Roman"/>
          <w:lang w:val="es-ES"/>
        </w:rPr>
      </w:pPr>
      <w:r>
        <w:rPr>
          <w:rStyle w:val="Refdenotaalfinal"/>
          <w:rFonts w:ascii="Times New Roman" w:hAnsi="Times New Roman"/>
        </w:rPr>
        <w:endnoteRef/>
      </w:r>
      <w:r>
        <w:rPr>
          <w:rFonts w:ascii="Times New Roman" w:hAnsi="Times New Roman"/>
        </w:rPr>
        <w:t xml:space="preserve"> </w:t>
      </w:r>
      <w:r>
        <w:rPr>
          <w:rFonts w:ascii="Times New Roman" w:hAnsi="Times New Roman"/>
          <w:lang w:val="es-ES"/>
        </w:rPr>
        <w:t xml:space="preserve">Según la </w:t>
      </w:r>
      <w:hyperlink r:id="rId48" w:history="1">
        <w:r>
          <w:rPr>
            <w:rStyle w:val="Hipervnculo"/>
            <w:rFonts w:ascii="Times New Roman" w:hAnsi="Times New Roman"/>
            <w:lang w:val="es-ES"/>
          </w:rPr>
          <w:t>Resolución DGT 2/1999</w:t>
        </w:r>
      </w:hyperlink>
      <w:r>
        <w:rPr>
          <w:rFonts w:ascii="Times New Roman" w:hAnsi="Times New Roman"/>
          <w:lang w:val="es-ES"/>
        </w:rPr>
        <w:t>:</w:t>
      </w:r>
    </w:p>
    <w:p w14:paraId="31280792" w14:textId="77777777" w:rsidR="00C7604F" w:rsidRDefault="00C7604F" w:rsidP="00C854F8">
      <w:pPr>
        <w:pStyle w:val="Textonotaalfinal"/>
        <w:numPr>
          <w:ilvl w:val="0"/>
          <w:numId w:val="4"/>
        </w:numPr>
        <w:spacing w:line="200" w:lineRule="exact"/>
        <w:jc w:val="both"/>
        <w:rPr>
          <w:rFonts w:ascii="Times New Roman" w:hAnsi="Times New Roman"/>
          <w:lang w:val="es-ES"/>
        </w:rPr>
      </w:pPr>
      <w:r>
        <w:rPr>
          <w:rFonts w:ascii="Times New Roman" w:hAnsi="Times New Roman"/>
          <w:lang w:val="es-ES"/>
        </w:rPr>
        <w:t>Se atiende a la fecha de fallecimiento, no a la fecha del último devengo del IP.</w:t>
      </w:r>
    </w:p>
    <w:p w14:paraId="67B72B80" w14:textId="77777777" w:rsidR="00C7604F" w:rsidRDefault="00C7604F" w:rsidP="00C854F8">
      <w:pPr>
        <w:pStyle w:val="Textonotaalfinal"/>
        <w:numPr>
          <w:ilvl w:val="0"/>
          <w:numId w:val="4"/>
        </w:numPr>
        <w:spacing w:line="200" w:lineRule="exact"/>
        <w:jc w:val="both"/>
        <w:rPr>
          <w:color w:val="000000"/>
          <w:lang w:val="es-ES"/>
        </w:rPr>
      </w:pPr>
      <w:r>
        <w:rPr>
          <w:rFonts w:ascii="Times New Roman" w:hAnsi="Times New Roman"/>
          <w:lang w:val="es-ES"/>
        </w:rPr>
        <w:t>No es imprescindible que la exención constara en la última declaración del IP del causante</w:t>
      </w:r>
      <w:r>
        <w:rPr>
          <w:color w:val="000000"/>
          <w:lang w:val="es-ES"/>
        </w:rPr>
        <w:t>.</w:t>
      </w:r>
    </w:p>
    <w:p w14:paraId="790CC7EE" w14:textId="77777777" w:rsidR="00C7604F" w:rsidRDefault="00C7604F" w:rsidP="00127A51">
      <w:pPr>
        <w:pStyle w:val="Textonotaalfinal"/>
        <w:spacing w:line="200" w:lineRule="exact"/>
        <w:jc w:val="both"/>
        <w:rPr>
          <w:rFonts w:ascii="Times New Roman" w:hAnsi="Times New Roman"/>
          <w:lang w:val="es-ES"/>
        </w:rPr>
      </w:pPr>
    </w:p>
  </w:endnote>
  <w:endnote w:id="45">
    <w:p w14:paraId="7A5EEE04" w14:textId="77777777" w:rsidR="00C7604F" w:rsidRDefault="00C7604F" w:rsidP="00127A51">
      <w:pPr>
        <w:pStyle w:val="Textonotaalfinal"/>
        <w:spacing w:line="200" w:lineRule="exact"/>
        <w:jc w:val="both"/>
        <w:rPr>
          <w:rFonts w:ascii="Times New Roman" w:hAnsi="Times New Roman"/>
        </w:rPr>
      </w:pPr>
      <w:r>
        <w:rPr>
          <w:rStyle w:val="Refdenotaalfinal"/>
          <w:rFonts w:ascii="Times New Roman" w:hAnsi="Times New Roman"/>
        </w:rPr>
        <w:endnoteRef/>
      </w:r>
      <w:r>
        <w:rPr>
          <w:rFonts w:ascii="Times New Roman" w:hAnsi="Times New Roman"/>
        </w:rPr>
        <w:t xml:space="preserve"> En resumen:</w:t>
      </w:r>
    </w:p>
    <w:p w14:paraId="26DE19B3" w14:textId="77777777" w:rsidR="00C7604F" w:rsidRDefault="00C7604F" w:rsidP="00C854F8">
      <w:pPr>
        <w:pStyle w:val="Textonotaalfinal"/>
        <w:numPr>
          <w:ilvl w:val="0"/>
          <w:numId w:val="5"/>
        </w:numPr>
        <w:spacing w:line="200" w:lineRule="exact"/>
        <w:jc w:val="both"/>
        <w:rPr>
          <w:rFonts w:ascii="Times New Roman" w:hAnsi="Times New Roman"/>
        </w:rPr>
      </w:pPr>
      <w:r>
        <w:rPr>
          <w:rFonts w:ascii="Times New Roman" w:hAnsi="Times New Roman"/>
        </w:rPr>
        <w:t xml:space="preserve">Empresas individuales o negocios profesionales (la </w:t>
      </w:r>
      <w:hyperlink r:id="rId49" w:history="1">
        <w:r>
          <w:rPr>
            <w:rStyle w:val="Hipervnculo"/>
            <w:rFonts w:ascii="Times New Roman" w:hAnsi="Times New Roman"/>
            <w:lang w:val="es-ES"/>
          </w:rPr>
          <w:t>Resolución DGT 2/1999</w:t>
        </w:r>
      </w:hyperlink>
      <w:r>
        <w:rPr>
          <w:rFonts w:ascii="Times New Roman" w:hAnsi="Times New Roman"/>
          <w:lang w:val="es-ES"/>
        </w:rPr>
        <w:t xml:space="preserve"> incluye aquí la participación en comunidades de bienes)</w:t>
      </w:r>
      <w:r>
        <w:rPr>
          <w:rFonts w:ascii="Times New Roman" w:hAnsi="Times New Roman"/>
        </w:rPr>
        <w:t xml:space="preserve"> siempre que:</w:t>
      </w:r>
    </w:p>
    <w:p w14:paraId="318CA073" w14:textId="77777777" w:rsidR="00C7604F" w:rsidRDefault="00C7604F" w:rsidP="00C854F8">
      <w:pPr>
        <w:pStyle w:val="Textonotaalfinal"/>
        <w:numPr>
          <w:ilvl w:val="0"/>
          <w:numId w:val="6"/>
        </w:numPr>
        <w:spacing w:line="200" w:lineRule="exact"/>
        <w:jc w:val="both"/>
        <w:rPr>
          <w:rFonts w:ascii="Times New Roman" w:hAnsi="Times New Roman"/>
        </w:rPr>
      </w:pPr>
      <w:r>
        <w:rPr>
          <w:rFonts w:ascii="Times New Roman" w:hAnsi="Times New Roman"/>
        </w:rPr>
        <w:t>La actividad se ejerza de manera habitual, personal y directa.</w:t>
      </w:r>
    </w:p>
    <w:p w14:paraId="7AF42CFF" w14:textId="77777777" w:rsidR="00C7604F" w:rsidRDefault="00C7604F" w:rsidP="00C854F8">
      <w:pPr>
        <w:pStyle w:val="Textonotaalfinal"/>
        <w:numPr>
          <w:ilvl w:val="0"/>
          <w:numId w:val="6"/>
        </w:numPr>
        <w:spacing w:line="200" w:lineRule="exact"/>
        <w:jc w:val="both"/>
        <w:rPr>
          <w:rFonts w:ascii="Times New Roman" w:hAnsi="Times New Roman"/>
        </w:rPr>
      </w:pPr>
      <w:r>
        <w:rPr>
          <w:rFonts w:ascii="Times New Roman" w:hAnsi="Times New Roman"/>
        </w:rPr>
        <w:t>Constituya la principal fuente de renta (sin contar la participación en las entidades siguientes).</w:t>
      </w:r>
    </w:p>
    <w:p w14:paraId="046F2EF2" w14:textId="77777777" w:rsidR="00C7604F" w:rsidRDefault="00C7604F" w:rsidP="00C854F8">
      <w:pPr>
        <w:pStyle w:val="Textonotaalfinal"/>
        <w:numPr>
          <w:ilvl w:val="0"/>
          <w:numId w:val="5"/>
        </w:numPr>
        <w:spacing w:line="200" w:lineRule="exact"/>
        <w:jc w:val="both"/>
        <w:rPr>
          <w:rFonts w:ascii="Times New Roman" w:hAnsi="Times New Roman"/>
        </w:rPr>
      </w:pPr>
      <w:r>
        <w:rPr>
          <w:rFonts w:ascii="Times New Roman" w:hAnsi="Times New Roman"/>
        </w:rPr>
        <w:t>Participación en entidades siempre que:</w:t>
      </w:r>
    </w:p>
    <w:p w14:paraId="3868BA94" w14:textId="77777777" w:rsidR="00C7604F" w:rsidRDefault="00C7604F" w:rsidP="00C854F8">
      <w:pPr>
        <w:pStyle w:val="Textonotaalfinal"/>
        <w:numPr>
          <w:ilvl w:val="0"/>
          <w:numId w:val="7"/>
        </w:numPr>
        <w:spacing w:line="200" w:lineRule="exact"/>
        <w:jc w:val="both"/>
        <w:rPr>
          <w:rFonts w:ascii="Times New Roman" w:hAnsi="Times New Roman"/>
        </w:rPr>
      </w:pPr>
      <w:r>
        <w:rPr>
          <w:rFonts w:ascii="Times New Roman" w:hAnsi="Times New Roman"/>
        </w:rPr>
        <w:t xml:space="preserve">La actividad principal no sea la gestión de un patrimonio mobiliario o inmobiliario (según </w:t>
      </w:r>
      <w:r>
        <w:rPr>
          <w:rFonts w:ascii="Times New Roman" w:hAnsi="Times New Roman"/>
          <w:lang w:val="es-ES"/>
        </w:rPr>
        <w:t xml:space="preserve">la </w:t>
      </w:r>
      <w:hyperlink r:id="rId50" w:history="1">
        <w:r>
          <w:rPr>
            <w:rStyle w:val="Hipervnculo"/>
            <w:rFonts w:ascii="Times New Roman" w:hAnsi="Times New Roman"/>
            <w:lang w:val="es-ES"/>
          </w:rPr>
          <w:t>Resolución DGT 2/1999</w:t>
        </w:r>
      </w:hyperlink>
      <w:r>
        <w:rPr>
          <w:rFonts w:ascii="Times New Roman" w:hAnsi="Times New Roman"/>
          <w:lang w:val="es-ES"/>
        </w:rPr>
        <w:t>, a las actividades de arrendamiento y compraventa de inmuebles se les exigirá que tengan el carácter de actividad económica conforme a la normativa del IRPF, es decir, un local afecto y un empleado con contrato laboral a jornada completa). En las holdings se atiende a la parte proporcional en que sus participadas reúnan los requisitos, exigiéndose al menos el 5% de los derechos de voto en las participadas.</w:t>
      </w:r>
    </w:p>
    <w:p w14:paraId="24CA903E" w14:textId="77777777" w:rsidR="00C7604F" w:rsidRDefault="00C7604F" w:rsidP="00C854F8">
      <w:pPr>
        <w:pStyle w:val="Textonotaalfinal"/>
        <w:numPr>
          <w:ilvl w:val="0"/>
          <w:numId w:val="7"/>
        </w:numPr>
        <w:spacing w:line="200" w:lineRule="exact"/>
        <w:jc w:val="both"/>
        <w:rPr>
          <w:rFonts w:ascii="Times New Roman" w:hAnsi="Times New Roman"/>
        </w:rPr>
      </w:pPr>
      <w:r>
        <w:rPr>
          <w:rFonts w:ascii="Times New Roman" w:hAnsi="Times New Roman"/>
        </w:rPr>
        <w:t>La participación sea al menos del 5% individualmente o del 20% familiarmente.</w:t>
      </w:r>
    </w:p>
    <w:p w14:paraId="0A0C5126" w14:textId="77777777" w:rsidR="00C7604F" w:rsidRDefault="00C7604F" w:rsidP="00C854F8">
      <w:pPr>
        <w:pStyle w:val="Textonotaalfinal"/>
        <w:numPr>
          <w:ilvl w:val="0"/>
          <w:numId w:val="7"/>
        </w:numPr>
        <w:spacing w:line="200" w:lineRule="exact"/>
        <w:jc w:val="both"/>
      </w:pPr>
      <w:r>
        <w:rPr>
          <w:rFonts w:ascii="Times New Roman" w:hAnsi="Times New Roman"/>
        </w:rPr>
        <w:t xml:space="preserve">Ejerza funciones directivas cuya remuneración sea de más del 50% de sus rendimientos empresariales, profesionales o laborales (sin contar los derivados de las empresas individuales o negocios profesionales anteriores). </w:t>
      </w:r>
      <w:r>
        <w:t xml:space="preserve">A este respecto pueden verse los comentarios que el </w:t>
      </w:r>
      <w:hyperlink r:id="rId51" w:history="1">
        <w:r>
          <w:rPr>
            <w:rStyle w:val="Hipervnculo"/>
          </w:rPr>
          <w:t>Notario Joaquín Z</w:t>
        </w:r>
        <w:r w:rsidRPr="009A4F52">
          <w:rPr>
            <w:rStyle w:val="Hipervnculo"/>
            <w:sz w:val="16"/>
            <w:szCs w:val="16"/>
          </w:rPr>
          <w:t>E</w:t>
        </w:r>
        <w:r>
          <w:rPr>
            <w:rStyle w:val="Hipervnculo"/>
            <w:sz w:val="16"/>
            <w:szCs w:val="16"/>
          </w:rPr>
          <w:t>JALBO</w:t>
        </w:r>
      </w:hyperlink>
      <w:r>
        <w:t xml:space="preserve"> hace a la Sentencia del Tribunal Supremo de 31 de marzo de 2014, que entiende que no es obstáculo la gratuidad estatutaria del cargo de administrador, pues como dice la Sentencia del Tribunal Superior de Justicia de Galicia de 23 de diciembre de 2013 (conforme a las Resoluciones DGT de 19 de abril de 2013 y 21 de julio de 2013, procederá la reducción cuando las "</w:t>
      </w:r>
      <w:r>
        <w:rPr>
          <w:i/>
        </w:rPr>
        <w:t>... funciones se desempeñen de manera efectiva, con independencia de la denominación del cargo y el vínculo que exista con la entidad...</w:t>
      </w:r>
      <w:r>
        <w:t>".</w:t>
      </w:r>
    </w:p>
    <w:p w14:paraId="1591E23E" w14:textId="77777777" w:rsidR="00C7604F" w:rsidRDefault="00C7604F" w:rsidP="00127A51">
      <w:pPr>
        <w:pStyle w:val="Textonotaalfinal"/>
        <w:spacing w:line="200" w:lineRule="exact"/>
        <w:jc w:val="both"/>
        <w:rPr>
          <w:rFonts w:ascii="Times New Roman" w:hAnsi="Times New Roman"/>
        </w:rPr>
      </w:pPr>
    </w:p>
  </w:endnote>
  <w:endnote w:id="46">
    <w:p w14:paraId="18A12A49" w14:textId="77777777" w:rsidR="00C7604F" w:rsidRDefault="00C7604F" w:rsidP="00127A51">
      <w:pPr>
        <w:pStyle w:val="Textonotaalfinal"/>
        <w:spacing w:line="200" w:lineRule="exact"/>
        <w:jc w:val="both"/>
      </w:pPr>
      <w:r>
        <w:rPr>
          <w:rStyle w:val="Refdenotaalfinal"/>
        </w:rPr>
        <w:endnoteRef/>
      </w:r>
      <w:r>
        <w:t xml:space="preserve"> “</w:t>
      </w:r>
      <w:r>
        <w:rPr>
          <w:i/>
        </w:rPr>
        <w:t>… Se entiende que tiene encomendadas estas tareas si acredita una categoría laboral correspondiente a los grupos 1 y 2 de cotización del régimen general de la Seguridad Social o si el causante le había otorgado un apoderamiento especial para llevar a cabo actuaciones habituales de gestión de la empresa…</w:t>
      </w:r>
      <w:r>
        <w:t>”.</w:t>
      </w:r>
    </w:p>
    <w:p w14:paraId="79DFEA1D" w14:textId="77777777" w:rsidR="00C7604F" w:rsidRDefault="00C7604F" w:rsidP="00127A51">
      <w:pPr>
        <w:pStyle w:val="Textonotaalfinal"/>
        <w:spacing w:line="200" w:lineRule="exact"/>
        <w:jc w:val="both"/>
        <w:rPr>
          <w:lang w:val="es-ES"/>
        </w:rPr>
      </w:pPr>
    </w:p>
  </w:endnote>
  <w:endnote w:id="47">
    <w:p w14:paraId="1E255233" w14:textId="77777777" w:rsidR="00C7604F" w:rsidRDefault="00C7604F" w:rsidP="00127A51">
      <w:pPr>
        <w:pStyle w:val="Textonotaalfinal"/>
        <w:spacing w:line="200" w:lineRule="exact"/>
        <w:jc w:val="both"/>
      </w:pPr>
      <w:r>
        <w:rPr>
          <w:rStyle w:val="Refdenotaalfinal"/>
        </w:rPr>
        <w:endnoteRef/>
      </w:r>
      <w:r>
        <w:t xml:space="preserve"> Se excluye expresamente el supuesto de que la “</w:t>
      </w:r>
      <w:r>
        <w:rPr>
          <w:i/>
        </w:rPr>
        <w:t>… actividad principal sea la gestión de un patrimonio mobiliario o inmobiliario en los términos establecidos en la Ley del Impuesto sobre el Patrimonio…</w:t>
      </w:r>
      <w:r>
        <w:t>”. Además, “</w:t>
      </w:r>
      <w:r>
        <w:rPr>
          <w:i/>
        </w:rPr>
        <w:t>… se exigirá el desarrollo efectivo de actividades económicas, sin que resulte suficiente para su acreditación la mera contratación de una persona empleada con contrato laboral y jornada completa…</w:t>
      </w:r>
      <w:r>
        <w:t>”.</w:t>
      </w:r>
    </w:p>
    <w:p w14:paraId="18CF2527" w14:textId="77777777" w:rsidR="00C7604F" w:rsidRDefault="00C7604F" w:rsidP="00127A51">
      <w:pPr>
        <w:pStyle w:val="Textonotaalfinal"/>
        <w:spacing w:line="200" w:lineRule="exact"/>
        <w:jc w:val="both"/>
        <w:rPr>
          <w:lang w:val="es-ES"/>
        </w:rPr>
      </w:pPr>
    </w:p>
  </w:endnote>
  <w:endnote w:id="48">
    <w:p w14:paraId="5DD10C9A" w14:textId="77777777" w:rsidR="00C7604F" w:rsidRDefault="00C7604F" w:rsidP="00127A51">
      <w:pPr>
        <w:pStyle w:val="Textonotaalfinal"/>
        <w:spacing w:line="200" w:lineRule="exact"/>
        <w:jc w:val="both"/>
      </w:pPr>
      <w:r>
        <w:rPr>
          <w:rStyle w:val="Refdenotaalfinal"/>
        </w:rPr>
        <w:endnoteRef/>
      </w:r>
      <w:r>
        <w:t xml:space="preserve"> “</w:t>
      </w:r>
      <w:r>
        <w:rPr>
          <w:i/>
        </w:rPr>
        <w:t>… Este límite es único y se aplica en el caso de una o varias adquisiciones mortis causa, siempre que sean a favor de la misma persona, provengan de uno o de distintos causantes…</w:t>
      </w:r>
      <w:r>
        <w:t>”.</w:t>
      </w:r>
    </w:p>
    <w:p w14:paraId="37DD5C11" w14:textId="77777777" w:rsidR="00C7604F" w:rsidRDefault="00C7604F" w:rsidP="00127A51">
      <w:pPr>
        <w:pStyle w:val="Textonotaalfinal"/>
        <w:spacing w:line="200" w:lineRule="exact"/>
        <w:jc w:val="both"/>
        <w:rPr>
          <w:lang w:val="es-ES"/>
        </w:rPr>
      </w:pPr>
      <w:r>
        <w:t xml:space="preserve"> </w:t>
      </w:r>
    </w:p>
  </w:endnote>
  <w:endnote w:id="49">
    <w:p w14:paraId="4221D623" w14:textId="77777777" w:rsidR="00C7604F" w:rsidRDefault="00C7604F" w:rsidP="00127A51">
      <w:pPr>
        <w:pStyle w:val="Textonotaalfinal"/>
        <w:spacing w:line="200" w:lineRule="exact"/>
        <w:jc w:val="both"/>
      </w:pPr>
      <w:r>
        <w:rPr>
          <w:rStyle w:val="Refdenotaalfinal"/>
        </w:rPr>
        <w:endnoteRef/>
      </w:r>
      <w:r>
        <w:t xml:space="preserve"> Se excluye expresamente el supuesto anteriormente reseñado relativo a sociedades de mera gestión de un patrimonio.</w:t>
      </w:r>
    </w:p>
    <w:p w14:paraId="2720CE04" w14:textId="77777777" w:rsidR="00C7604F" w:rsidRDefault="00C7604F" w:rsidP="00127A51">
      <w:pPr>
        <w:pStyle w:val="Textonotaalfinal"/>
        <w:spacing w:line="200" w:lineRule="exact"/>
        <w:jc w:val="both"/>
        <w:rPr>
          <w:lang w:val="es-ES"/>
        </w:rPr>
      </w:pPr>
    </w:p>
  </w:endnote>
  <w:endnote w:id="50">
    <w:p w14:paraId="308C2601" w14:textId="77777777" w:rsidR="00C7604F" w:rsidRDefault="00C7604F" w:rsidP="00127A51">
      <w:pPr>
        <w:pStyle w:val="Textonotaalfinal"/>
        <w:spacing w:line="200" w:lineRule="exact"/>
        <w:jc w:val="both"/>
      </w:pPr>
      <w:r>
        <w:rPr>
          <w:rStyle w:val="Refdenotaalfinal"/>
        </w:rPr>
        <w:endnoteRef/>
      </w:r>
      <w:r>
        <w:t xml:space="preserve"> Ya </w:t>
      </w:r>
      <w:r>
        <w:rPr>
          <w:bCs/>
          <w:lang w:val="es-ES"/>
        </w:rPr>
        <w:t xml:space="preserve">la </w:t>
      </w:r>
      <w:hyperlink r:id="rId52" w:history="1">
        <w:r>
          <w:rPr>
            <w:rStyle w:val="Hipervnculo"/>
            <w:bCs/>
            <w:lang w:val="es-ES"/>
          </w:rPr>
          <w:t>Ley 11/2006</w:t>
        </w:r>
      </w:hyperlink>
      <w:r>
        <w:rPr>
          <w:bCs/>
          <w:lang w:val="es-ES"/>
        </w:rPr>
        <w:t>, para Sucesiones entre el 1 de enero de 2007 y el 31 de diciembre de 2008, estableciendo la misma bonificación pero con el límite en la base imponible de</w:t>
      </w:r>
      <w:r>
        <w:t xml:space="preserve"> de 125.000  €.</w:t>
      </w:r>
    </w:p>
    <w:p w14:paraId="0B9AB0D5" w14:textId="77777777" w:rsidR="00C7604F" w:rsidRDefault="00C7604F" w:rsidP="00127A51">
      <w:pPr>
        <w:pStyle w:val="Textonotaalfinal"/>
        <w:spacing w:line="200" w:lineRule="exact"/>
        <w:jc w:val="both"/>
        <w:rPr>
          <w:lang w:val="es-ES"/>
        </w:rPr>
      </w:pPr>
    </w:p>
  </w:endnote>
  <w:endnote w:id="51">
    <w:p w14:paraId="487EA542" w14:textId="77777777" w:rsidR="00C7604F" w:rsidRDefault="00C7604F" w:rsidP="00127A51">
      <w:pPr>
        <w:pStyle w:val="Textonotaalfinal"/>
        <w:spacing w:line="200" w:lineRule="exact"/>
        <w:jc w:val="both"/>
        <w:rPr>
          <w:rFonts w:ascii="Times New Roman" w:hAnsi="Times New Roman"/>
          <w:lang w:val="es-ES"/>
        </w:rPr>
      </w:pPr>
      <w:r>
        <w:rPr>
          <w:rStyle w:val="Refdenotaalfinal"/>
        </w:rPr>
        <w:endnoteRef/>
      </w:r>
      <w:r>
        <w:t xml:space="preserve"> </w:t>
      </w:r>
      <w:r>
        <w:rPr>
          <w:rFonts w:ascii="Times New Roman" w:hAnsi="Times New Roman"/>
        </w:rPr>
        <w:t>Si es superior no hay bonificación alguna. Como en el juego de las siete y media, h</w:t>
      </w:r>
      <w:r>
        <w:rPr>
          <w:rFonts w:ascii="Times New Roman" w:hAnsi="Times New Roman"/>
          <w:lang w:val="es-ES"/>
        </w:rPr>
        <w:t>ay que tener cuidado entonces con pasarse pues el precepto habla de base imponible, por lo que al valor de los bienes heredados habría que sumar (además de los eventuales seguros de vida y pactos sucesorios) el ajuar doméstico (valorado al 3%, salvo prueba en contrario, lo que en la práctica determina que el valor no pueda exceder de 145.631,06 €) y sin que operen todavía las reducciones (por parentesco, minusvalía, acumulación de sucesiones, percepción de cantidades por seguros de vida para caso de muerte, transmisión de la empresa familiar, transmisión de la vivienda habitual, etc).</w:t>
      </w:r>
    </w:p>
    <w:p w14:paraId="3D96B290" w14:textId="77777777" w:rsidR="00C7604F" w:rsidRDefault="00C7604F" w:rsidP="00127A51">
      <w:pPr>
        <w:pStyle w:val="Textonotaalfinal"/>
        <w:spacing w:line="200" w:lineRule="exact"/>
        <w:jc w:val="both"/>
        <w:rPr>
          <w:lang w:val="es-ES"/>
        </w:rPr>
      </w:pPr>
    </w:p>
  </w:endnote>
  <w:endnote w:id="52">
    <w:p w14:paraId="594D1321" w14:textId="77777777" w:rsidR="00C7604F" w:rsidRDefault="00C7604F" w:rsidP="00127A51">
      <w:pPr>
        <w:pStyle w:val="Textonotaalfinal"/>
        <w:spacing w:line="200" w:lineRule="exact"/>
        <w:jc w:val="both"/>
        <w:rPr>
          <w:rFonts w:ascii="Times New Roman" w:hAnsi="Times New Roman"/>
          <w:bCs/>
        </w:rPr>
      </w:pPr>
      <w:r>
        <w:rPr>
          <w:rStyle w:val="Refdenotaalfinal"/>
          <w:rFonts w:ascii="Times New Roman" w:hAnsi="Times New Roman"/>
        </w:rPr>
        <w:endnoteRef/>
      </w:r>
      <w:r>
        <w:rPr>
          <w:rFonts w:ascii="Times New Roman" w:hAnsi="Times New Roman"/>
        </w:rPr>
        <w:t xml:space="preserve"> Para los residentes fiscales, durante el 2012, 2013 y 2014 el tipo de gravamen de las ganancias patrimoniales fue </w:t>
      </w:r>
      <w:r>
        <w:rPr>
          <w:rFonts w:ascii="Times New Roman" w:hAnsi="Times New Roman"/>
          <w:bCs/>
        </w:rPr>
        <w:t>21% hasta 6.000 €, 25% hasta 24.000 € y 27% lo que excediese.</w:t>
      </w:r>
    </w:p>
    <w:p w14:paraId="7CE3CA80" w14:textId="77777777" w:rsidR="00C7604F" w:rsidRDefault="00C7604F" w:rsidP="00127A51">
      <w:pPr>
        <w:pStyle w:val="Textonotaalfinal"/>
        <w:spacing w:line="200" w:lineRule="exact"/>
        <w:jc w:val="both"/>
        <w:rPr>
          <w:rFonts w:ascii="Times New Roman" w:hAnsi="Times New Roman"/>
          <w:bCs/>
        </w:rPr>
      </w:pPr>
      <w:r>
        <w:rPr>
          <w:rFonts w:ascii="Times New Roman" w:hAnsi="Times New Roman"/>
          <w:bCs/>
        </w:rPr>
        <w:t xml:space="preserve">En el 2015 (tras el </w:t>
      </w:r>
      <w:hyperlink r:id="rId53" w:history="1">
        <w:r>
          <w:rPr>
            <w:rStyle w:val="Hipervnculo"/>
          </w:rPr>
          <w:t>Decreto-ley 9/2015</w:t>
        </w:r>
      </w:hyperlink>
      <w:r>
        <w:rPr>
          <w:color w:val="000000"/>
        </w:rPr>
        <w:t>)</w:t>
      </w:r>
      <w:r>
        <w:rPr>
          <w:rFonts w:ascii="Times New Roman" w:hAnsi="Times New Roman"/>
          <w:bCs/>
        </w:rPr>
        <w:t xml:space="preserve">  pasó a 19,5% hasta 6.000 €, 21,5% hasta 50.000 € y 23,5% lo que exceda.</w:t>
      </w:r>
    </w:p>
    <w:p w14:paraId="49DC97D2" w14:textId="77777777" w:rsidR="00C7604F" w:rsidRDefault="00C7604F" w:rsidP="00127A51">
      <w:pPr>
        <w:pStyle w:val="Textonotaalfinal"/>
        <w:spacing w:line="200" w:lineRule="exact"/>
        <w:jc w:val="both"/>
        <w:rPr>
          <w:rFonts w:ascii="Times New Roman" w:hAnsi="Times New Roman"/>
          <w:bCs/>
        </w:rPr>
      </w:pPr>
      <w:r>
        <w:rPr>
          <w:rFonts w:ascii="Times New Roman" w:hAnsi="Times New Roman"/>
          <w:bCs/>
        </w:rPr>
        <w:t>En el 2016 pasa a 19% hasta 6.000 €, 21% hasta 50.000 € y 23% lo que excediere (</w:t>
      </w:r>
      <w:r w:rsidRPr="009149D8">
        <w:rPr>
          <w:rFonts w:ascii="Times New Roman" w:hAnsi="Times New Roman"/>
          <w:bCs/>
        </w:rPr>
        <w:t>26% lo que exceda de 200.000 € en 2021 y 2022)</w:t>
      </w:r>
      <w:r>
        <w:rPr>
          <w:rFonts w:ascii="Times New Roman" w:hAnsi="Times New Roman"/>
          <w:bCs/>
        </w:rPr>
        <w:t>.</w:t>
      </w:r>
    </w:p>
    <w:p w14:paraId="2EB92EEE" w14:textId="77777777" w:rsidR="00C7604F" w:rsidRDefault="00C7604F" w:rsidP="00127A51">
      <w:pPr>
        <w:pStyle w:val="Textonotaalfinal"/>
        <w:spacing w:line="200" w:lineRule="exact"/>
        <w:jc w:val="both"/>
        <w:rPr>
          <w:rFonts w:ascii="Times New Roman" w:hAnsi="Times New Roman"/>
          <w:bCs/>
        </w:rPr>
      </w:pPr>
      <w:r w:rsidRPr="009C2662">
        <w:rPr>
          <w:rFonts w:ascii="Times New Roman" w:hAnsi="Times New Roman"/>
          <w:bCs/>
        </w:rPr>
        <w:t>Desde</w:t>
      </w:r>
      <w:r>
        <w:rPr>
          <w:rFonts w:ascii="Times New Roman" w:hAnsi="Times New Roman"/>
          <w:bCs/>
        </w:rPr>
        <w:t xml:space="preserve"> el 2023 pasa a</w:t>
      </w:r>
      <w:r w:rsidRPr="009C2662">
        <w:rPr>
          <w:rFonts w:ascii="Times New Roman" w:hAnsi="Times New Roman"/>
          <w:bCs/>
        </w:rPr>
        <w:t xml:space="preserve"> 19% hasta 6.000 €, 21% hasta 50.000 €, 23% hasta 200.000 €, 27% hasta 300.000 € y 28% lo que exceda</w:t>
      </w:r>
      <w:r w:rsidR="00520A1A">
        <w:rPr>
          <w:rFonts w:ascii="Times New Roman" w:hAnsi="Times New Roman"/>
          <w:bCs/>
        </w:rPr>
        <w:t xml:space="preserve"> (30% desde 2024)</w:t>
      </w:r>
      <w:r>
        <w:rPr>
          <w:rFonts w:ascii="Times New Roman" w:hAnsi="Times New Roman"/>
          <w:bCs/>
        </w:rPr>
        <w:t>.</w:t>
      </w:r>
    </w:p>
    <w:p w14:paraId="114A198F" w14:textId="77777777" w:rsidR="00C7604F" w:rsidRDefault="00C7604F" w:rsidP="00127A51">
      <w:pPr>
        <w:pStyle w:val="Textonotaalfinal"/>
        <w:spacing w:line="200" w:lineRule="exact"/>
        <w:jc w:val="both"/>
        <w:rPr>
          <w:rFonts w:ascii="Times New Roman" w:hAnsi="Times New Roman"/>
          <w:bCs/>
          <w:lang w:val="es-ES"/>
        </w:rPr>
      </w:pPr>
      <w:r>
        <w:rPr>
          <w:rFonts w:ascii="Times New Roman" w:hAnsi="Times New Roman"/>
          <w:lang w:val="es-ES"/>
        </w:rPr>
        <w:t xml:space="preserve">Es de considerar que, según la </w:t>
      </w:r>
      <w:hyperlink r:id="rId54" w:history="1">
        <w:r>
          <w:rPr>
            <w:rStyle w:val="Hipervnculo"/>
            <w:rFonts w:ascii="Times New Roman" w:hAnsi="Times New Roman"/>
            <w:lang w:val="es-ES"/>
          </w:rPr>
          <w:t>Sentencia del Tribunal Superior de Justicia de Galicia de 20 de noviembre de 2013</w:t>
        </w:r>
      </w:hyperlink>
      <w:r>
        <w:rPr>
          <w:rFonts w:ascii="Times New Roman" w:hAnsi="Times New Roman"/>
          <w:lang w:val="es-ES"/>
        </w:rPr>
        <w:t>,</w:t>
      </w:r>
      <w:r>
        <w:rPr>
          <w:rFonts w:ascii="Times New Roman" w:hAnsi="Times New Roman"/>
          <w:bCs/>
          <w:lang w:val="es-ES"/>
        </w:rPr>
        <w:t xml:space="preserve"> en la cuantificación de tales ganancias en el IRPF, la administración est</w:t>
      </w:r>
      <w:r w:rsidR="00737B6A">
        <w:rPr>
          <w:rFonts w:ascii="Times New Roman" w:hAnsi="Times New Roman"/>
          <w:bCs/>
          <w:lang w:val="es-ES"/>
        </w:rPr>
        <w:t>á</w:t>
      </w:r>
      <w:r>
        <w:rPr>
          <w:rFonts w:ascii="Times New Roman" w:hAnsi="Times New Roman"/>
          <w:bCs/>
          <w:lang w:val="es-ES"/>
        </w:rPr>
        <w:t xml:space="preserve"> vinculada por la comprobación que del valor de adquisición se hizo a efectos a efectos del ITP.</w:t>
      </w:r>
    </w:p>
    <w:p w14:paraId="62C34628" w14:textId="77777777" w:rsidR="00C7604F" w:rsidRDefault="00C7604F" w:rsidP="00127A51">
      <w:pPr>
        <w:pStyle w:val="Textonotaalfinal"/>
        <w:spacing w:line="200" w:lineRule="exact"/>
        <w:jc w:val="both"/>
        <w:rPr>
          <w:rFonts w:ascii="Times New Roman" w:hAnsi="Times New Roman"/>
          <w:lang w:val="es-ES"/>
        </w:rPr>
      </w:pPr>
    </w:p>
  </w:endnote>
  <w:endnote w:id="53">
    <w:p w14:paraId="78676A1C" w14:textId="77777777" w:rsidR="00C7604F" w:rsidRDefault="00C7604F" w:rsidP="00127A51">
      <w:pPr>
        <w:pStyle w:val="Textonotaalfinal"/>
        <w:spacing w:line="200" w:lineRule="exact"/>
        <w:jc w:val="both"/>
        <w:rPr>
          <w:rFonts w:ascii="Times New Roman" w:hAnsi="Times New Roman"/>
          <w:bCs/>
        </w:rPr>
      </w:pPr>
      <w:r>
        <w:rPr>
          <w:rStyle w:val="Refdenotaalfinal"/>
          <w:rFonts w:ascii="Times New Roman" w:hAnsi="Times New Roman"/>
        </w:rPr>
        <w:endnoteRef/>
      </w:r>
      <w:r>
        <w:rPr>
          <w:rFonts w:ascii="Times New Roman" w:hAnsi="Times New Roman"/>
        </w:rPr>
        <w:t xml:space="preserve"> Para los no residentes fiscales, con independencia del tiempo de generación de la ganancia, durante el 2012, 2013 y 2014 el tipo de gravamen de las ganancias patrimoniales fue el 21% (</w:t>
      </w:r>
      <w:hyperlink r:id="rId55" w:history="1">
        <w:r>
          <w:rPr>
            <w:rStyle w:val="Hipervnculo"/>
            <w:rFonts w:ascii="Times New Roman" w:hAnsi="Times New Roman"/>
            <w:bCs/>
          </w:rPr>
          <w:t>disp. final 4ª del Decreto-ley 20/2011</w:t>
        </w:r>
      </w:hyperlink>
      <w:r>
        <w:rPr>
          <w:rFonts w:ascii="Times New Roman" w:hAnsi="Times New Roman"/>
          <w:bCs/>
        </w:rPr>
        <w:t xml:space="preserve">, asumido por el </w:t>
      </w:r>
      <w:hyperlink r:id="rId56" w:anchor="a66" w:history="1">
        <w:r>
          <w:rPr>
            <w:rStyle w:val="Hipervnculo"/>
            <w:rFonts w:ascii="Times New Roman" w:hAnsi="Times New Roman"/>
            <w:bCs/>
          </w:rPr>
          <w:t>art. 66 de la Ley 2/2012</w:t>
        </w:r>
      </w:hyperlink>
      <w:r>
        <w:rPr>
          <w:rFonts w:ascii="Times New Roman" w:hAnsi="Times New Roman"/>
          <w:bCs/>
        </w:rPr>
        <w:t>).</w:t>
      </w:r>
    </w:p>
    <w:p w14:paraId="325E9E7F" w14:textId="77777777" w:rsidR="00C7604F" w:rsidRDefault="00C7604F" w:rsidP="00873283">
      <w:pPr>
        <w:pStyle w:val="Textonotaalfinal"/>
        <w:spacing w:line="200" w:lineRule="exact"/>
        <w:jc w:val="both"/>
        <w:rPr>
          <w:rFonts w:ascii="Times New Roman" w:hAnsi="Times New Roman"/>
          <w:bCs/>
        </w:rPr>
      </w:pPr>
      <w:r>
        <w:rPr>
          <w:rFonts w:ascii="Times New Roman" w:hAnsi="Times New Roman"/>
          <w:bCs/>
        </w:rPr>
        <w:t xml:space="preserve">En el 2015 pasó a ser 20% </w:t>
      </w:r>
      <w:r>
        <w:rPr>
          <w:rFonts w:ascii="Times" w:hAnsi="Times"/>
        </w:rPr>
        <w:t xml:space="preserve">(19,50 % desde el 12 de julio, según el </w:t>
      </w:r>
      <w:hyperlink r:id="rId57" w:history="1">
        <w:r>
          <w:rPr>
            <w:rStyle w:val="Hipervnculo"/>
          </w:rPr>
          <w:t>Decreto-ley 9/2015</w:t>
        </w:r>
      </w:hyperlink>
      <w:r>
        <w:rPr>
          <w:rFonts w:ascii="Times" w:hAnsi="Times"/>
        </w:rPr>
        <w:t>)</w:t>
      </w:r>
    </w:p>
    <w:p w14:paraId="72F33E62" w14:textId="77777777" w:rsidR="00C7604F" w:rsidRDefault="00C7604F" w:rsidP="00873283">
      <w:pPr>
        <w:pStyle w:val="Textonotaalfinal"/>
        <w:spacing w:line="200" w:lineRule="exact"/>
        <w:jc w:val="both"/>
        <w:rPr>
          <w:rFonts w:ascii="Times New Roman" w:hAnsi="Times New Roman"/>
          <w:bCs/>
        </w:rPr>
      </w:pPr>
      <w:r>
        <w:rPr>
          <w:rFonts w:ascii="Times New Roman" w:hAnsi="Times New Roman"/>
          <w:bCs/>
        </w:rPr>
        <w:t>En el 2016 pasa a ser 19%.</w:t>
      </w:r>
    </w:p>
    <w:p w14:paraId="78AD240B" w14:textId="77777777" w:rsidR="00C7604F" w:rsidRDefault="00C7604F" w:rsidP="00127A51">
      <w:pPr>
        <w:pStyle w:val="Textonotaalfinal"/>
        <w:spacing w:line="200" w:lineRule="exact"/>
        <w:jc w:val="both"/>
        <w:rPr>
          <w:rFonts w:ascii="Times New Roman" w:hAnsi="Times New Roman"/>
          <w:lang w:val="es-ES"/>
        </w:rPr>
      </w:pPr>
    </w:p>
  </w:endnote>
  <w:endnote w:id="54">
    <w:p w14:paraId="254CB04F" w14:textId="77777777" w:rsidR="00C7604F" w:rsidRDefault="00C7604F" w:rsidP="00127A51">
      <w:pPr>
        <w:pStyle w:val="Textonotaalfinal"/>
        <w:spacing w:line="200" w:lineRule="exact"/>
        <w:jc w:val="both"/>
        <w:rPr>
          <w:rFonts w:ascii="Times New Roman" w:hAnsi="Times New Roman"/>
          <w:lang w:val="es-ES"/>
        </w:rPr>
      </w:pPr>
      <w:r>
        <w:rPr>
          <w:rStyle w:val="Refdenotaalfinal"/>
          <w:rFonts w:ascii="Times New Roman" w:hAnsi="Times New Roman"/>
        </w:rPr>
        <w:endnoteRef/>
      </w:r>
      <w:r>
        <w:rPr>
          <w:rFonts w:ascii="Times New Roman" w:hAnsi="Times New Roman"/>
        </w:rPr>
        <w:t xml:space="preserve"> </w:t>
      </w:r>
      <w:r>
        <w:rPr>
          <w:rFonts w:ascii="Times New Roman" w:hAnsi="Times New Roman"/>
          <w:lang w:val="es-ES"/>
        </w:rPr>
        <w:t>Se entiende en defecto del regulado por la Comunidad Autónoma y no será de aplicación a los sujetos pasivos por obligación real.</w:t>
      </w:r>
    </w:p>
    <w:p w14:paraId="0A149959" w14:textId="77777777" w:rsidR="00C7604F" w:rsidRDefault="00C7604F" w:rsidP="00127A51">
      <w:pPr>
        <w:pStyle w:val="Textonotaalfinal"/>
        <w:spacing w:line="200" w:lineRule="exact"/>
        <w:jc w:val="both"/>
        <w:rPr>
          <w:rFonts w:ascii="Times New Roman" w:hAnsi="Times New Roman"/>
          <w:lang w:val="es-ES"/>
        </w:rPr>
      </w:pPr>
    </w:p>
  </w:endnote>
  <w:endnote w:id="55">
    <w:p w14:paraId="534BAC38" w14:textId="77777777" w:rsidR="00C7604F" w:rsidRDefault="00C7604F" w:rsidP="00127A51">
      <w:pPr>
        <w:pStyle w:val="Textonotaalfinal"/>
        <w:spacing w:line="200" w:lineRule="exact"/>
        <w:jc w:val="both"/>
        <w:rPr>
          <w:rFonts w:ascii="Times New Roman" w:hAnsi="Times New Roman"/>
          <w:lang w:val="es-ES"/>
        </w:rPr>
      </w:pPr>
      <w:r>
        <w:rPr>
          <w:rStyle w:val="Refdenotaalfinal"/>
          <w:rFonts w:ascii="Times New Roman" w:hAnsi="Times New Roman"/>
        </w:rPr>
        <w:endnoteRef/>
      </w:r>
      <w:r>
        <w:rPr>
          <w:rFonts w:ascii="Times New Roman" w:hAnsi="Times New Roman"/>
        </w:rPr>
        <w:t xml:space="preserve"> </w:t>
      </w:r>
      <w:r>
        <w:rPr>
          <w:rFonts w:ascii="Times New Roman" w:hAnsi="Times New Roman"/>
          <w:lang w:val="es-ES"/>
        </w:rPr>
        <w:t>Se entiende en defecto del regulado por la Comunidad Autónoma y sí será de aplicación a los sujetos pasivos por obligación real.</w:t>
      </w:r>
    </w:p>
    <w:p w14:paraId="191AC5B9" w14:textId="77777777" w:rsidR="00C7604F" w:rsidRDefault="00C7604F" w:rsidP="00127A51">
      <w:pPr>
        <w:pStyle w:val="Textonotaalfinal"/>
        <w:spacing w:line="200" w:lineRule="exact"/>
        <w:jc w:val="both"/>
        <w:rPr>
          <w:rFonts w:ascii="Times New Roman" w:hAnsi="Times New Roman"/>
          <w:lang w:val="es-ES"/>
        </w:rPr>
      </w:pPr>
    </w:p>
    <w:p w14:paraId="33201AD5" w14:textId="77777777" w:rsidR="00C7604F" w:rsidRPr="00C67C51" w:rsidRDefault="00C7604F" w:rsidP="00C67C51">
      <w:pPr>
        <w:pStyle w:val="Textonotaalfinal"/>
        <w:spacing w:line="200" w:lineRule="exact"/>
        <w:jc w:val="right"/>
        <w:rPr>
          <w:rFonts w:ascii="Times New Roman" w:hAnsi="Times New Roman"/>
          <w:b/>
          <w:i/>
          <w:sz w:val="24"/>
          <w:szCs w:val="24"/>
          <w:lang w:val="es-ES"/>
        </w:rPr>
      </w:pPr>
      <w:r w:rsidRPr="00C67C51">
        <w:rPr>
          <w:rFonts w:ascii="Times New Roman" w:hAnsi="Times New Roman"/>
          <w:b/>
          <w:i/>
          <w:sz w:val="24"/>
          <w:szCs w:val="24"/>
          <w:lang w:val="es-ES"/>
        </w:rPr>
        <w:t>Vicente Martorell, notario</w:t>
      </w:r>
    </w:p>
    <w:p w14:paraId="71B221F0" w14:textId="4DAEF4C6" w:rsidR="00C7604F" w:rsidRPr="00C67C51" w:rsidRDefault="00C42339" w:rsidP="00C67C51">
      <w:pPr>
        <w:pStyle w:val="Textonotaalfinal"/>
        <w:spacing w:line="200" w:lineRule="exact"/>
        <w:jc w:val="right"/>
        <w:rPr>
          <w:rFonts w:ascii="Times New Roman" w:hAnsi="Times New Roman"/>
          <w:b/>
          <w:i/>
          <w:sz w:val="24"/>
          <w:szCs w:val="24"/>
          <w:lang w:val="es-ES"/>
        </w:rPr>
      </w:pPr>
      <w:r>
        <w:rPr>
          <w:rFonts w:ascii="Times New Roman" w:hAnsi="Times New Roman"/>
          <w:b/>
          <w:i/>
          <w:sz w:val="24"/>
          <w:szCs w:val="24"/>
          <w:lang w:val="es-ES"/>
        </w:rPr>
        <w:t>10</w:t>
      </w:r>
      <w:r w:rsidR="00C7604F">
        <w:rPr>
          <w:rFonts w:ascii="Times New Roman" w:hAnsi="Times New Roman"/>
          <w:b/>
          <w:i/>
          <w:sz w:val="24"/>
          <w:szCs w:val="24"/>
          <w:lang w:val="es-ES"/>
        </w:rPr>
        <w:t xml:space="preserve"> de </w:t>
      </w:r>
      <w:r>
        <w:rPr>
          <w:rFonts w:ascii="Times New Roman" w:hAnsi="Times New Roman"/>
          <w:b/>
          <w:i/>
          <w:sz w:val="24"/>
          <w:szCs w:val="24"/>
          <w:lang w:val="es-ES"/>
        </w:rPr>
        <w:t>septiembre</w:t>
      </w:r>
      <w:r w:rsidR="00DF437C">
        <w:rPr>
          <w:rFonts w:ascii="Times New Roman" w:hAnsi="Times New Roman"/>
          <w:b/>
          <w:i/>
          <w:sz w:val="24"/>
          <w:szCs w:val="24"/>
          <w:lang w:val="es-ES"/>
        </w:rPr>
        <w:t xml:space="preserve"> </w:t>
      </w:r>
      <w:r w:rsidR="00C7604F" w:rsidRPr="00C67C51">
        <w:rPr>
          <w:rFonts w:ascii="Times New Roman" w:hAnsi="Times New Roman"/>
          <w:b/>
          <w:i/>
          <w:sz w:val="24"/>
          <w:szCs w:val="24"/>
          <w:lang w:val="es-ES"/>
        </w:rPr>
        <w:t>de 20</w:t>
      </w:r>
      <w:r w:rsidR="00C7604F">
        <w:rPr>
          <w:rFonts w:ascii="Times New Roman" w:hAnsi="Times New Roman"/>
          <w:b/>
          <w:i/>
          <w:sz w:val="24"/>
          <w:szCs w:val="24"/>
          <w:lang w:val="es-ES"/>
        </w:rPr>
        <w:t>2</w:t>
      </w:r>
      <w:r w:rsidR="0041561F">
        <w:rPr>
          <w:rFonts w:ascii="Times New Roman" w:hAnsi="Times New Roman"/>
          <w:b/>
          <w:i/>
          <w:sz w:val="24"/>
          <w:szCs w:val="24"/>
          <w:lang w:val="es-ES"/>
        </w:rPr>
        <w:t>6</w:t>
      </w:r>
    </w:p>
    <w:p w14:paraId="59CCD5BE" w14:textId="77777777" w:rsidR="00C7604F" w:rsidRDefault="00C7604F" w:rsidP="00127A51">
      <w:pPr>
        <w:pStyle w:val="Textonotaalfinal"/>
        <w:spacing w:line="200" w:lineRule="exact"/>
        <w:jc w:val="both"/>
        <w:rPr>
          <w:rFonts w:ascii="Times New Roman" w:hAnsi="Times New Roman"/>
          <w:lang w:val="es-E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G 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7DE65" w14:textId="77777777" w:rsidR="00CA6031" w:rsidRDefault="00CA6031">
      <w:r>
        <w:separator/>
      </w:r>
    </w:p>
  </w:footnote>
  <w:footnote w:type="continuationSeparator" w:id="0">
    <w:p w14:paraId="6E92C89F" w14:textId="77777777" w:rsidR="00CA6031" w:rsidRDefault="00CA6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199F1" w14:textId="77777777" w:rsidR="00C7604F" w:rsidRDefault="00C7604F">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94B8904" w14:textId="77777777" w:rsidR="00C7604F" w:rsidRDefault="00C7604F">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6FE50" w14:textId="77777777" w:rsidR="00C7604F" w:rsidRDefault="00C7604F">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5C671C">
      <w:rPr>
        <w:rStyle w:val="Nmerodepgina"/>
        <w:noProof/>
      </w:rPr>
      <w:t>1</w:t>
    </w:r>
    <w:r>
      <w:rPr>
        <w:rStyle w:val="Nmerodepgina"/>
      </w:rPr>
      <w:fldChar w:fldCharType="end"/>
    </w:r>
    <w:r>
      <w:rPr>
        <w:rStyle w:val="Nmerodepgina"/>
      </w:rPr>
      <w:t>/</w:t>
    </w:r>
    <w:r>
      <w:rPr>
        <w:rStyle w:val="Nmerodepgina"/>
      </w:rPr>
      <w:fldChar w:fldCharType="begin"/>
    </w:r>
    <w:r>
      <w:rPr>
        <w:rStyle w:val="Nmerodepgina"/>
      </w:rPr>
      <w:instrText xml:space="preserve"> NUMPAGES </w:instrText>
    </w:r>
    <w:r>
      <w:rPr>
        <w:rStyle w:val="Nmerodepgina"/>
      </w:rPr>
      <w:fldChar w:fldCharType="separate"/>
    </w:r>
    <w:r w:rsidR="005C671C">
      <w:rPr>
        <w:rStyle w:val="Nmerodepgina"/>
        <w:noProof/>
      </w:rPr>
      <w:t>1</w:t>
    </w:r>
    <w:r>
      <w:rPr>
        <w:rStyle w:val="Nmerodepgina"/>
      </w:rPr>
      <w:fldChar w:fldCharType="end"/>
    </w:r>
  </w:p>
  <w:p w14:paraId="6C57006D" w14:textId="77777777" w:rsidR="00C7604F" w:rsidRDefault="00C7604F">
    <w:pPr>
      <w:ind w:right="360"/>
    </w:pPr>
  </w:p>
  <w:p w14:paraId="60B84CBB" w14:textId="77777777" w:rsidR="00C7604F" w:rsidRDefault="00C760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679D"/>
    <w:multiLevelType w:val="hybridMultilevel"/>
    <w:tmpl w:val="50E038E6"/>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385441D"/>
    <w:multiLevelType w:val="hybridMultilevel"/>
    <w:tmpl w:val="E3BC4BBC"/>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52345D2"/>
    <w:multiLevelType w:val="hybridMultilevel"/>
    <w:tmpl w:val="8C2CE1C6"/>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 w15:restartNumberingAfterBreak="0">
    <w:nsid w:val="06301EBD"/>
    <w:multiLevelType w:val="multilevel"/>
    <w:tmpl w:val="63E8299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67A162D"/>
    <w:multiLevelType w:val="hybridMultilevel"/>
    <w:tmpl w:val="3CE6CCC6"/>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15:restartNumberingAfterBreak="0">
    <w:nsid w:val="07CB217C"/>
    <w:multiLevelType w:val="hybridMultilevel"/>
    <w:tmpl w:val="A0289CE2"/>
    <w:lvl w:ilvl="0" w:tplc="0C0A0001">
      <w:start w:val="1"/>
      <w:numFmt w:val="bullet"/>
      <w:lvlText w:val=""/>
      <w:lvlJc w:val="left"/>
      <w:pPr>
        <w:ind w:left="1584" w:hanging="360"/>
      </w:pPr>
      <w:rPr>
        <w:rFonts w:ascii="Symbol" w:hAnsi="Symbol" w:hint="default"/>
      </w:rPr>
    </w:lvl>
    <w:lvl w:ilvl="1" w:tplc="0C0A0003" w:tentative="1">
      <w:start w:val="1"/>
      <w:numFmt w:val="bullet"/>
      <w:lvlText w:val="o"/>
      <w:lvlJc w:val="left"/>
      <w:pPr>
        <w:ind w:left="2304" w:hanging="360"/>
      </w:pPr>
      <w:rPr>
        <w:rFonts w:ascii="Courier New" w:hAnsi="Courier New" w:cs="Courier New" w:hint="default"/>
      </w:rPr>
    </w:lvl>
    <w:lvl w:ilvl="2" w:tplc="0C0A0005" w:tentative="1">
      <w:start w:val="1"/>
      <w:numFmt w:val="bullet"/>
      <w:lvlText w:val=""/>
      <w:lvlJc w:val="left"/>
      <w:pPr>
        <w:ind w:left="3024" w:hanging="360"/>
      </w:pPr>
      <w:rPr>
        <w:rFonts w:ascii="Wingdings" w:hAnsi="Wingdings" w:hint="default"/>
      </w:rPr>
    </w:lvl>
    <w:lvl w:ilvl="3" w:tplc="0C0A0001" w:tentative="1">
      <w:start w:val="1"/>
      <w:numFmt w:val="bullet"/>
      <w:lvlText w:val=""/>
      <w:lvlJc w:val="left"/>
      <w:pPr>
        <w:ind w:left="3744" w:hanging="360"/>
      </w:pPr>
      <w:rPr>
        <w:rFonts w:ascii="Symbol" w:hAnsi="Symbol" w:hint="default"/>
      </w:rPr>
    </w:lvl>
    <w:lvl w:ilvl="4" w:tplc="0C0A0003" w:tentative="1">
      <w:start w:val="1"/>
      <w:numFmt w:val="bullet"/>
      <w:lvlText w:val="o"/>
      <w:lvlJc w:val="left"/>
      <w:pPr>
        <w:ind w:left="4464" w:hanging="360"/>
      </w:pPr>
      <w:rPr>
        <w:rFonts w:ascii="Courier New" w:hAnsi="Courier New" w:cs="Courier New" w:hint="default"/>
      </w:rPr>
    </w:lvl>
    <w:lvl w:ilvl="5" w:tplc="0C0A0005" w:tentative="1">
      <w:start w:val="1"/>
      <w:numFmt w:val="bullet"/>
      <w:lvlText w:val=""/>
      <w:lvlJc w:val="left"/>
      <w:pPr>
        <w:ind w:left="5184" w:hanging="360"/>
      </w:pPr>
      <w:rPr>
        <w:rFonts w:ascii="Wingdings" w:hAnsi="Wingdings" w:hint="default"/>
      </w:rPr>
    </w:lvl>
    <w:lvl w:ilvl="6" w:tplc="0C0A0001" w:tentative="1">
      <w:start w:val="1"/>
      <w:numFmt w:val="bullet"/>
      <w:lvlText w:val=""/>
      <w:lvlJc w:val="left"/>
      <w:pPr>
        <w:ind w:left="5904" w:hanging="360"/>
      </w:pPr>
      <w:rPr>
        <w:rFonts w:ascii="Symbol" w:hAnsi="Symbol" w:hint="default"/>
      </w:rPr>
    </w:lvl>
    <w:lvl w:ilvl="7" w:tplc="0C0A0003" w:tentative="1">
      <w:start w:val="1"/>
      <w:numFmt w:val="bullet"/>
      <w:lvlText w:val="o"/>
      <w:lvlJc w:val="left"/>
      <w:pPr>
        <w:ind w:left="6624" w:hanging="360"/>
      </w:pPr>
      <w:rPr>
        <w:rFonts w:ascii="Courier New" w:hAnsi="Courier New" w:cs="Courier New" w:hint="default"/>
      </w:rPr>
    </w:lvl>
    <w:lvl w:ilvl="8" w:tplc="0C0A0005" w:tentative="1">
      <w:start w:val="1"/>
      <w:numFmt w:val="bullet"/>
      <w:lvlText w:val=""/>
      <w:lvlJc w:val="left"/>
      <w:pPr>
        <w:ind w:left="7344" w:hanging="360"/>
      </w:pPr>
      <w:rPr>
        <w:rFonts w:ascii="Wingdings" w:hAnsi="Wingdings" w:hint="default"/>
      </w:rPr>
    </w:lvl>
  </w:abstractNum>
  <w:abstractNum w:abstractNumId="6" w15:restartNumberingAfterBreak="0">
    <w:nsid w:val="08EE3722"/>
    <w:multiLevelType w:val="hybridMultilevel"/>
    <w:tmpl w:val="9DD47900"/>
    <w:lvl w:ilvl="0" w:tplc="BB402190">
      <w:numFmt w:val="bullet"/>
      <w:lvlText w:val="-"/>
      <w:lvlJc w:val="left"/>
      <w:pPr>
        <w:tabs>
          <w:tab w:val="num" w:pos="757"/>
        </w:tabs>
        <w:ind w:left="757" w:hanging="360"/>
      </w:pPr>
      <w:rPr>
        <w:rFonts w:ascii="CG Times (W1)" w:eastAsia="Times New Roman" w:hAnsi="CG Times (W1)" w:cs="Times New Roman" w:hint="default"/>
      </w:rPr>
    </w:lvl>
    <w:lvl w:ilvl="1" w:tplc="0C0A0003">
      <w:start w:val="1"/>
      <w:numFmt w:val="bullet"/>
      <w:lvlText w:val="o"/>
      <w:lvlJc w:val="left"/>
      <w:pPr>
        <w:tabs>
          <w:tab w:val="num" w:pos="1837"/>
        </w:tabs>
        <w:ind w:left="1837" w:hanging="360"/>
      </w:pPr>
      <w:rPr>
        <w:rFonts w:ascii="Courier New" w:hAnsi="Courier New" w:cs="Courier New" w:hint="default"/>
      </w:rPr>
    </w:lvl>
    <w:lvl w:ilvl="2" w:tplc="0C0A0005" w:tentative="1">
      <w:start w:val="1"/>
      <w:numFmt w:val="bullet"/>
      <w:lvlText w:val=""/>
      <w:lvlJc w:val="left"/>
      <w:pPr>
        <w:tabs>
          <w:tab w:val="num" w:pos="2557"/>
        </w:tabs>
        <w:ind w:left="2557" w:hanging="360"/>
      </w:pPr>
      <w:rPr>
        <w:rFonts w:ascii="Wingdings" w:hAnsi="Wingdings" w:hint="default"/>
      </w:rPr>
    </w:lvl>
    <w:lvl w:ilvl="3" w:tplc="0C0A0001" w:tentative="1">
      <w:start w:val="1"/>
      <w:numFmt w:val="bullet"/>
      <w:lvlText w:val=""/>
      <w:lvlJc w:val="left"/>
      <w:pPr>
        <w:tabs>
          <w:tab w:val="num" w:pos="3277"/>
        </w:tabs>
        <w:ind w:left="3277" w:hanging="360"/>
      </w:pPr>
      <w:rPr>
        <w:rFonts w:ascii="Symbol" w:hAnsi="Symbol" w:hint="default"/>
      </w:rPr>
    </w:lvl>
    <w:lvl w:ilvl="4" w:tplc="0C0A0003" w:tentative="1">
      <w:start w:val="1"/>
      <w:numFmt w:val="bullet"/>
      <w:lvlText w:val="o"/>
      <w:lvlJc w:val="left"/>
      <w:pPr>
        <w:tabs>
          <w:tab w:val="num" w:pos="3997"/>
        </w:tabs>
        <w:ind w:left="3997" w:hanging="360"/>
      </w:pPr>
      <w:rPr>
        <w:rFonts w:ascii="Courier New" w:hAnsi="Courier New" w:cs="Courier New" w:hint="default"/>
      </w:rPr>
    </w:lvl>
    <w:lvl w:ilvl="5" w:tplc="0C0A0005" w:tentative="1">
      <w:start w:val="1"/>
      <w:numFmt w:val="bullet"/>
      <w:lvlText w:val=""/>
      <w:lvlJc w:val="left"/>
      <w:pPr>
        <w:tabs>
          <w:tab w:val="num" w:pos="4717"/>
        </w:tabs>
        <w:ind w:left="4717" w:hanging="360"/>
      </w:pPr>
      <w:rPr>
        <w:rFonts w:ascii="Wingdings" w:hAnsi="Wingdings" w:hint="default"/>
      </w:rPr>
    </w:lvl>
    <w:lvl w:ilvl="6" w:tplc="0C0A0001" w:tentative="1">
      <w:start w:val="1"/>
      <w:numFmt w:val="bullet"/>
      <w:lvlText w:val=""/>
      <w:lvlJc w:val="left"/>
      <w:pPr>
        <w:tabs>
          <w:tab w:val="num" w:pos="5437"/>
        </w:tabs>
        <w:ind w:left="5437" w:hanging="360"/>
      </w:pPr>
      <w:rPr>
        <w:rFonts w:ascii="Symbol" w:hAnsi="Symbol" w:hint="default"/>
      </w:rPr>
    </w:lvl>
    <w:lvl w:ilvl="7" w:tplc="0C0A0003" w:tentative="1">
      <w:start w:val="1"/>
      <w:numFmt w:val="bullet"/>
      <w:lvlText w:val="o"/>
      <w:lvlJc w:val="left"/>
      <w:pPr>
        <w:tabs>
          <w:tab w:val="num" w:pos="6157"/>
        </w:tabs>
        <w:ind w:left="6157" w:hanging="360"/>
      </w:pPr>
      <w:rPr>
        <w:rFonts w:ascii="Courier New" w:hAnsi="Courier New" w:cs="Courier New" w:hint="default"/>
      </w:rPr>
    </w:lvl>
    <w:lvl w:ilvl="8" w:tplc="0C0A0005" w:tentative="1">
      <w:start w:val="1"/>
      <w:numFmt w:val="bullet"/>
      <w:lvlText w:val=""/>
      <w:lvlJc w:val="left"/>
      <w:pPr>
        <w:tabs>
          <w:tab w:val="num" w:pos="6877"/>
        </w:tabs>
        <w:ind w:left="6877" w:hanging="360"/>
      </w:pPr>
      <w:rPr>
        <w:rFonts w:ascii="Wingdings" w:hAnsi="Wingdings" w:hint="default"/>
      </w:rPr>
    </w:lvl>
  </w:abstractNum>
  <w:abstractNum w:abstractNumId="7" w15:restartNumberingAfterBreak="0">
    <w:nsid w:val="0AF05842"/>
    <w:multiLevelType w:val="hybridMultilevel"/>
    <w:tmpl w:val="D726880E"/>
    <w:lvl w:ilvl="0" w:tplc="0C0A0001">
      <w:start w:val="1"/>
      <w:numFmt w:val="bullet"/>
      <w:lvlText w:val=""/>
      <w:lvlJc w:val="left"/>
      <w:pPr>
        <w:tabs>
          <w:tab w:val="num" w:pos="1800"/>
        </w:tabs>
        <w:ind w:left="1800" w:hanging="360"/>
      </w:pPr>
      <w:rPr>
        <w:rFonts w:ascii="Symbol" w:hAnsi="Symbol" w:hint="default"/>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1B570677"/>
    <w:multiLevelType w:val="hybridMultilevel"/>
    <w:tmpl w:val="76E6CF66"/>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C66357E"/>
    <w:multiLevelType w:val="hybridMultilevel"/>
    <w:tmpl w:val="182E0A4C"/>
    <w:lvl w:ilvl="0" w:tplc="0C0A0003">
      <w:start w:val="1"/>
      <w:numFmt w:val="bullet"/>
      <w:lvlText w:val="o"/>
      <w:lvlJc w:val="left"/>
      <w:pPr>
        <w:tabs>
          <w:tab w:val="num" w:pos="360"/>
        </w:tabs>
        <w:ind w:left="360" w:hanging="360"/>
      </w:pPr>
      <w:rPr>
        <w:rFonts w:ascii="Courier New" w:hAnsi="Courier New" w:cs="Courier New"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CC5466"/>
    <w:multiLevelType w:val="hybridMultilevel"/>
    <w:tmpl w:val="946A164E"/>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1" w15:restartNumberingAfterBreak="0">
    <w:nsid w:val="2CF7417C"/>
    <w:multiLevelType w:val="hybridMultilevel"/>
    <w:tmpl w:val="78D28E18"/>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2D7C192A"/>
    <w:multiLevelType w:val="hybridMultilevel"/>
    <w:tmpl w:val="08621628"/>
    <w:lvl w:ilvl="0" w:tplc="0C0A0003">
      <w:start w:val="1"/>
      <w:numFmt w:val="bullet"/>
      <w:lvlText w:val="o"/>
      <w:lvlJc w:val="left"/>
      <w:pPr>
        <w:tabs>
          <w:tab w:val="num" w:pos="360"/>
        </w:tabs>
        <w:ind w:left="360" w:hanging="360"/>
      </w:pPr>
      <w:rPr>
        <w:rFonts w:ascii="Courier New" w:hAnsi="Courier New" w:cs="Courier New"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CE73511"/>
    <w:multiLevelType w:val="hybridMultilevel"/>
    <w:tmpl w:val="FFC26AE6"/>
    <w:lvl w:ilvl="0" w:tplc="0C0A0003">
      <w:start w:val="1"/>
      <w:numFmt w:val="bullet"/>
      <w:lvlText w:val="o"/>
      <w:lvlJc w:val="left"/>
      <w:pPr>
        <w:tabs>
          <w:tab w:val="num" w:pos="1080"/>
        </w:tabs>
        <w:ind w:left="1080" w:hanging="360"/>
      </w:pPr>
      <w:rPr>
        <w:rFonts w:ascii="Courier New" w:hAnsi="Courier New" w:cs="Courier New" w:hint="default"/>
      </w:rPr>
    </w:lvl>
    <w:lvl w:ilvl="1" w:tplc="0C0A0001">
      <w:start w:val="1"/>
      <w:numFmt w:val="bullet"/>
      <w:lvlText w:val=""/>
      <w:lvlJc w:val="left"/>
      <w:pPr>
        <w:ind w:left="1080" w:hanging="360"/>
      </w:pPr>
      <w:rPr>
        <w:rFonts w:ascii="Symbol" w:hAnsi="Symbol"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06642BA"/>
    <w:multiLevelType w:val="hybridMultilevel"/>
    <w:tmpl w:val="A306A4AE"/>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5" w15:restartNumberingAfterBreak="0">
    <w:nsid w:val="41657E8E"/>
    <w:multiLevelType w:val="hybridMultilevel"/>
    <w:tmpl w:val="E3DC1400"/>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6" w15:restartNumberingAfterBreak="0">
    <w:nsid w:val="41EF28F1"/>
    <w:multiLevelType w:val="hybridMultilevel"/>
    <w:tmpl w:val="AE78CDF4"/>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45C563B9"/>
    <w:multiLevelType w:val="hybridMultilevel"/>
    <w:tmpl w:val="41BC1B9C"/>
    <w:lvl w:ilvl="0" w:tplc="0C0A0003">
      <w:start w:val="1"/>
      <w:numFmt w:val="bullet"/>
      <w:lvlText w:val="o"/>
      <w:lvlJc w:val="left"/>
      <w:pPr>
        <w:tabs>
          <w:tab w:val="num" w:pos="360"/>
        </w:tabs>
        <w:ind w:left="360" w:hanging="360"/>
      </w:pPr>
      <w:rPr>
        <w:rFonts w:ascii="Courier New" w:hAnsi="Courier New" w:cs="Courier New"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68E0771"/>
    <w:multiLevelType w:val="hybridMultilevel"/>
    <w:tmpl w:val="7166F93C"/>
    <w:lvl w:ilvl="0" w:tplc="DCE28524">
      <w:start w:val="1"/>
      <w:numFmt w:val="bullet"/>
      <w:lvlText w:val="o"/>
      <w:lvlJc w:val="left"/>
      <w:pPr>
        <w:tabs>
          <w:tab w:val="num" w:pos="60"/>
        </w:tabs>
        <w:ind w:left="344" w:hanging="284"/>
      </w:pPr>
      <w:rPr>
        <w:rFonts w:ascii="Courier New" w:hAnsi="Courier New"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49D079C9"/>
    <w:multiLevelType w:val="hybridMultilevel"/>
    <w:tmpl w:val="6D9EA14C"/>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4B844869"/>
    <w:multiLevelType w:val="hybridMultilevel"/>
    <w:tmpl w:val="705ABDF2"/>
    <w:lvl w:ilvl="0" w:tplc="0C0A0003">
      <w:start w:val="1"/>
      <w:numFmt w:val="bullet"/>
      <w:lvlText w:val="o"/>
      <w:lvlJc w:val="left"/>
      <w:pPr>
        <w:tabs>
          <w:tab w:val="num" w:pos="360"/>
        </w:tabs>
        <w:ind w:left="360" w:hanging="360"/>
      </w:pPr>
      <w:rPr>
        <w:rFonts w:ascii="Courier New" w:hAnsi="Courier New" w:cs="Courier New"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C7F5A9D"/>
    <w:multiLevelType w:val="hybridMultilevel"/>
    <w:tmpl w:val="6EA4145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2" w15:restartNumberingAfterBreak="0">
    <w:nsid w:val="4D1E4126"/>
    <w:multiLevelType w:val="hybridMultilevel"/>
    <w:tmpl w:val="E1B6C376"/>
    <w:lvl w:ilvl="0" w:tplc="0C0A0001">
      <w:start w:val="1"/>
      <w:numFmt w:val="bullet"/>
      <w:lvlText w:val=""/>
      <w:lvlJc w:val="left"/>
      <w:pPr>
        <w:tabs>
          <w:tab w:val="num" w:pos="1800"/>
        </w:tabs>
        <w:ind w:left="1800" w:hanging="360"/>
      </w:pPr>
      <w:rPr>
        <w:rFonts w:ascii="Symbol" w:hAnsi="Symbol" w:hint="default"/>
      </w:rPr>
    </w:lvl>
    <w:lvl w:ilvl="1" w:tplc="0C0A0003" w:tentative="1">
      <w:start w:val="1"/>
      <w:numFmt w:val="bullet"/>
      <w:lvlText w:val="o"/>
      <w:lvlJc w:val="left"/>
      <w:pPr>
        <w:tabs>
          <w:tab w:val="num" w:pos="1872"/>
        </w:tabs>
        <w:ind w:left="1872" w:hanging="360"/>
      </w:pPr>
      <w:rPr>
        <w:rFonts w:ascii="Courier New" w:hAnsi="Courier New" w:cs="Courier New" w:hint="default"/>
      </w:rPr>
    </w:lvl>
    <w:lvl w:ilvl="2" w:tplc="0C0A0005" w:tentative="1">
      <w:start w:val="1"/>
      <w:numFmt w:val="bullet"/>
      <w:lvlText w:val=""/>
      <w:lvlJc w:val="left"/>
      <w:pPr>
        <w:tabs>
          <w:tab w:val="num" w:pos="2592"/>
        </w:tabs>
        <w:ind w:left="2592" w:hanging="360"/>
      </w:pPr>
      <w:rPr>
        <w:rFonts w:ascii="Wingdings" w:hAnsi="Wingdings" w:hint="default"/>
      </w:rPr>
    </w:lvl>
    <w:lvl w:ilvl="3" w:tplc="0C0A0001" w:tentative="1">
      <w:start w:val="1"/>
      <w:numFmt w:val="bullet"/>
      <w:lvlText w:val=""/>
      <w:lvlJc w:val="left"/>
      <w:pPr>
        <w:tabs>
          <w:tab w:val="num" w:pos="3312"/>
        </w:tabs>
        <w:ind w:left="3312" w:hanging="360"/>
      </w:pPr>
      <w:rPr>
        <w:rFonts w:ascii="Symbol" w:hAnsi="Symbol" w:hint="default"/>
      </w:rPr>
    </w:lvl>
    <w:lvl w:ilvl="4" w:tplc="0C0A0003" w:tentative="1">
      <w:start w:val="1"/>
      <w:numFmt w:val="bullet"/>
      <w:lvlText w:val="o"/>
      <w:lvlJc w:val="left"/>
      <w:pPr>
        <w:tabs>
          <w:tab w:val="num" w:pos="4032"/>
        </w:tabs>
        <w:ind w:left="4032" w:hanging="360"/>
      </w:pPr>
      <w:rPr>
        <w:rFonts w:ascii="Courier New" w:hAnsi="Courier New" w:cs="Courier New" w:hint="default"/>
      </w:rPr>
    </w:lvl>
    <w:lvl w:ilvl="5" w:tplc="0C0A0005" w:tentative="1">
      <w:start w:val="1"/>
      <w:numFmt w:val="bullet"/>
      <w:lvlText w:val=""/>
      <w:lvlJc w:val="left"/>
      <w:pPr>
        <w:tabs>
          <w:tab w:val="num" w:pos="4752"/>
        </w:tabs>
        <w:ind w:left="4752" w:hanging="360"/>
      </w:pPr>
      <w:rPr>
        <w:rFonts w:ascii="Wingdings" w:hAnsi="Wingdings" w:hint="default"/>
      </w:rPr>
    </w:lvl>
    <w:lvl w:ilvl="6" w:tplc="0C0A0001" w:tentative="1">
      <w:start w:val="1"/>
      <w:numFmt w:val="bullet"/>
      <w:lvlText w:val=""/>
      <w:lvlJc w:val="left"/>
      <w:pPr>
        <w:tabs>
          <w:tab w:val="num" w:pos="5472"/>
        </w:tabs>
        <w:ind w:left="5472" w:hanging="360"/>
      </w:pPr>
      <w:rPr>
        <w:rFonts w:ascii="Symbol" w:hAnsi="Symbol" w:hint="default"/>
      </w:rPr>
    </w:lvl>
    <w:lvl w:ilvl="7" w:tplc="0C0A0003" w:tentative="1">
      <w:start w:val="1"/>
      <w:numFmt w:val="bullet"/>
      <w:lvlText w:val="o"/>
      <w:lvlJc w:val="left"/>
      <w:pPr>
        <w:tabs>
          <w:tab w:val="num" w:pos="6192"/>
        </w:tabs>
        <w:ind w:left="6192" w:hanging="360"/>
      </w:pPr>
      <w:rPr>
        <w:rFonts w:ascii="Courier New" w:hAnsi="Courier New" w:cs="Courier New" w:hint="default"/>
      </w:rPr>
    </w:lvl>
    <w:lvl w:ilvl="8" w:tplc="0C0A0005" w:tentative="1">
      <w:start w:val="1"/>
      <w:numFmt w:val="bullet"/>
      <w:lvlText w:val=""/>
      <w:lvlJc w:val="left"/>
      <w:pPr>
        <w:tabs>
          <w:tab w:val="num" w:pos="6912"/>
        </w:tabs>
        <w:ind w:left="6912" w:hanging="360"/>
      </w:pPr>
      <w:rPr>
        <w:rFonts w:ascii="Wingdings" w:hAnsi="Wingdings" w:hint="default"/>
      </w:rPr>
    </w:lvl>
  </w:abstractNum>
  <w:abstractNum w:abstractNumId="23" w15:restartNumberingAfterBreak="0">
    <w:nsid w:val="4E0D1D2F"/>
    <w:multiLevelType w:val="hybridMultilevel"/>
    <w:tmpl w:val="145A074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E3C1417"/>
    <w:multiLevelType w:val="hybridMultilevel"/>
    <w:tmpl w:val="123C059C"/>
    <w:lvl w:ilvl="0" w:tplc="0C0A0001">
      <w:start w:val="1"/>
      <w:numFmt w:val="bullet"/>
      <w:lvlText w:val=""/>
      <w:lvlJc w:val="left"/>
      <w:pPr>
        <w:tabs>
          <w:tab w:val="num" w:pos="1152"/>
        </w:tabs>
        <w:ind w:left="1152" w:hanging="360"/>
      </w:pPr>
      <w:rPr>
        <w:rFonts w:ascii="Symbol" w:hAnsi="Symbol" w:hint="default"/>
      </w:rPr>
    </w:lvl>
    <w:lvl w:ilvl="1" w:tplc="0C0A0003" w:tentative="1">
      <w:start w:val="1"/>
      <w:numFmt w:val="bullet"/>
      <w:lvlText w:val="o"/>
      <w:lvlJc w:val="left"/>
      <w:pPr>
        <w:tabs>
          <w:tab w:val="num" w:pos="1872"/>
        </w:tabs>
        <w:ind w:left="1872" w:hanging="360"/>
      </w:pPr>
      <w:rPr>
        <w:rFonts w:ascii="Courier New" w:hAnsi="Courier New" w:cs="Courier New" w:hint="default"/>
      </w:rPr>
    </w:lvl>
    <w:lvl w:ilvl="2" w:tplc="0C0A0005" w:tentative="1">
      <w:start w:val="1"/>
      <w:numFmt w:val="bullet"/>
      <w:lvlText w:val=""/>
      <w:lvlJc w:val="left"/>
      <w:pPr>
        <w:tabs>
          <w:tab w:val="num" w:pos="2592"/>
        </w:tabs>
        <w:ind w:left="2592" w:hanging="360"/>
      </w:pPr>
      <w:rPr>
        <w:rFonts w:ascii="Wingdings" w:hAnsi="Wingdings" w:hint="default"/>
      </w:rPr>
    </w:lvl>
    <w:lvl w:ilvl="3" w:tplc="0C0A0001" w:tentative="1">
      <w:start w:val="1"/>
      <w:numFmt w:val="bullet"/>
      <w:lvlText w:val=""/>
      <w:lvlJc w:val="left"/>
      <w:pPr>
        <w:tabs>
          <w:tab w:val="num" w:pos="3312"/>
        </w:tabs>
        <w:ind w:left="3312" w:hanging="360"/>
      </w:pPr>
      <w:rPr>
        <w:rFonts w:ascii="Symbol" w:hAnsi="Symbol" w:hint="default"/>
      </w:rPr>
    </w:lvl>
    <w:lvl w:ilvl="4" w:tplc="0C0A0003" w:tentative="1">
      <w:start w:val="1"/>
      <w:numFmt w:val="bullet"/>
      <w:lvlText w:val="o"/>
      <w:lvlJc w:val="left"/>
      <w:pPr>
        <w:tabs>
          <w:tab w:val="num" w:pos="4032"/>
        </w:tabs>
        <w:ind w:left="4032" w:hanging="360"/>
      </w:pPr>
      <w:rPr>
        <w:rFonts w:ascii="Courier New" w:hAnsi="Courier New" w:cs="Courier New" w:hint="default"/>
      </w:rPr>
    </w:lvl>
    <w:lvl w:ilvl="5" w:tplc="0C0A0005" w:tentative="1">
      <w:start w:val="1"/>
      <w:numFmt w:val="bullet"/>
      <w:lvlText w:val=""/>
      <w:lvlJc w:val="left"/>
      <w:pPr>
        <w:tabs>
          <w:tab w:val="num" w:pos="4752"/>
        </w:tabs>
        <w:ind w:left="4752" w:hanging="360"/>
      </w:pPr>
      <w:rPr>
        <w:rFonts w:ascii="Wingdings" w:hAnsi="Wingdings" w:hint="default"/>
      </w:rPr>
    </w:lvl>
    <w:lvl w:ilvl="6" w:tplc="0C0A0001" w:tentative="1">
      <w:start w:val="1"/>
      <w:numFmt w:val="bullet"/>
      <w:lvlText w:val=""/>
      <w:lvlJc w:val="left"/>
      <w:pPr>
        <w:tabs>
          <w:tab w:val="num" w:pos="5472"/>
        </w:tabs>
        <w:ind w:left="5472" w:hanging="360"/>
      </w:pPr>
      <w:rPr>
        <w:rFonts w:ascii="Symbol" w:hAnsi="Symbol" w:hint="default"/>
      </w:rPr>
    </w:lvl>
    <w:lvl w:ilvl="7" w:tplc="0C0A0003" w:tentative="1">
      <w:start w:val="1"/>
      <w:numFmt w:val="bullet"/>
      <w:lvlText w:val="o"/>
      <w:lvlJc w:val="left"/>
      <w:pPr>
        <w:tabs>
          <w:tab w:val="num" w:pos="6192"/>
        </w:tabs>
        <w:ind w:left="6192" w:hanging="360"/>
      </w:pPr>
      <w:rPr>
        <w:rFonts w:ascii="Courier New" w:hAnsi="Courier New" w:cs="Courier New" w:hint="default"/>
      </w:rPr>
    </w:lvl>
    <w:lvl w:ilvl="8" w:tplc="0C0A0005" w:tentative="1">
      <w:start w:val="1"/>
      <w:numFmt w:val="bullet"/>
      <w:lvlText w:val=""/>
      <w:lvlJc w:val="left"/>
      <w:pPr>
        <w:tabs>
          <w:tab w:val="num" w:pos="6912"/>
        </w:tabs>
        <w:ind w:left="6912" w:hanging="360"/>
      </w:pPr>
      <w:rPr>
        <w:rFonts w:ascii="Wingdings" w:hAnsi="Wingdings" w:hint="default"/>
      </w:rPr>
    </w:lvl>
  </w:abstractNum>
  <w:abstractNum w:abstractNumId="25" w15:restartNumberingAfterBreak="0">
    <w:nsid w:val="51F15549"/>
    <w:multiLevelType w:val="hybridMultilevel"/>
    <w:tmpl w:val="F9BEB1AE"/>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6" w15:restartNumberingAfterBreak="0">
    <w:nsid w:val="537E48F5"/>
    <w:multiLevelType w:val="hybridMultilevel"/>
    <w:tmpl w:val="DF44C420"/>
    <w:lvl w:ilvl="0" w:tplc="0C0A0003">
      <w:start w:val="1"/>
      <w:numFmt w:val="bullet"/>
      <w:lvlText w:val="o"/>
      <w:lvlJc w:val="left"/>
      <w:pPr>
        <w:tabs>
          <w:tab w:val="num" w:pos="360"/>
        </w:tabs>
        <w:ind w:left="360" w:hanging="360"/>
      </w:pPr>
      <w:rPr>
        <w:rFonts w:ascii="Courier New" w:hAnsi="Courier New" w:cs="Courier New"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3D15016"/>
    <w:multiLevelType w:val="multilevel"/>
    <w:tmpl w:val="B970B0FE"/>
    <w:lvl w:ilvl="0">
      <w:start w:val="1"/>
      <w:numFmt w:val="decimal"/>
      <w:lvlText w:val="%1."/>
      <w:lvlJc w:val="left"/>
      <w:pPr>
        <w:tabs>
          <w:tab w:val="num" w:pos="360"/>
        </w:tabs>
        <w:ind w:left="360" w:hanging="360"/>
      </w:pPr>
      <w:rPr>
        <w:rFonts w:hint="default"/>
        <w:sz w:val="26"/>
        <w:szCs w:val="26"/>
      </w:rPr>
    </w:lvl>
    <w:lvl w:ilvl="1">
      <w:start w:val="1"/>
      <w:numFmt w:val="decimal"/>
      <w:lvlText w:val="%1.%2."/>
      <w:lvlJc w:val="left"/>
      <w:pPr>
        <w:tabs>
          <w:tab w:val="num" w:pos="792"/>
        </w:tabs>
        <w:ind w:left="792" w:hanging="432"/>
      </w:pPr>
      <w:rPr>
        <w:rFonts w:hint="default"/>
        <w:sz w:val="26"/>
        <w:szCs w:val="26"/>
      </w:rPr>
    </w:lvl>
    <w:lvl w:ilvl="2">
      <w:start w:val="1"/>
      <w:numFmt w:val="decimal"/>
      <w:lvlText w:val="%1.%2.%3."/>
      <w:lvlJc w:val="left"/>
      <w:pPr>
        <w:tabs>
          <w:tab w:val="num" w:pos="1440"/>
        </w:tabs>
        <w:ind w:left="1224" w:hanging="504"/>
      </w:pPr>
      <w:rPr>
        <w:rFonts w:hint="default"/>
        <w:color w:val="000000"/>
        <w:sz w:val="26"/>
        <w:szCs w:val="26"/>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575D4D3F"/>
    <w:multiLevelType w:val="hybridMultilevel"/>
    <w:tmpl w:val="5A54AD82"/>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9" w15:restartNumberingAfterBreak="0">
    <w:nsid w:val="5EA076B8"/>
    <w:multiLevelType w:val="hybridMultilevel"/>
    <w:tmpl w:val="AEBACAC2"/>
    <w:lvl w:ilvl="0" w:tplc="0C0A0001">
      <w:start w:val="1"/>
      <w:numFmt w:val="bullet"/>
      <w:lvlText w:val=""/>
      <w:lvlJc w:val="left"/>
      <w:pPr>
        <w:tabs>
          <w:tab w:val="num" w:pos="1440"/>
        </w:tabs>
        <w:ind w:left="1724" w:hanging="284"/>
      </w:pPr>
      <w:rPr>
        <w:rFonts w:ascii="Symbol" w:hAnsi="Symbol" w:hint="default"/>
      </w:rPr>
    </w:lvl>
    <w:lvl w:ilvl="1" w:tplc="0C0A0003">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30" w15:restartNumberingAfterBreak="0">
    <w:nsid w:val="61CD4628"/>
    <w:multiLevelType w:val="hybridMultilevel"/>
    <w:tmpl w:val="5ED0B05A"/>
    <w:lvl w:ilvl="0" w:tplc="0C0A0001">
      <w:start w:val="1"/>
      <w:numFmt w:val="bullet"/>
      <w:lvlText w:val=""/>
      <w:lvlJc w:val="left"/>
      <w:pPr>
        <w:ind w:left="1152" w:hanging="360"/>
      </w:pPr>
      <w:rPr>
        <w:rFonts w:ascii="Symbol" w:hAnsi="Symbol" w:hint="default"/>
      </w:rPr>
    </w:lvl>
    <w:lvl w:ilvl="1" w:tplc="0C0A0003" w:tentative="1">
      <w:start w:val="1"/>
      <w:numFmt w:val="bullet"/>
      <w:lvlText w:val="o"/>
      <w:lvlJc w:val="left"/>
      <w:pPr>
        <w:ind w:left="1872" w:hanging="360"/>
      </w:pPr>
      <w:rPr>
        <w:rFonts w:ascii="Courier New" w:hAnsi="Courier New" w:cs="Courier New" w:hint="default"/>
      </w:rPr>
    </w:lvl>
    <w:lvl w:ilvl="2" w:tplc="0C0A0005" w:tentative="1">
      <w:start w:val="1"/>
      <w:numFmt w:val="bullet"/>
      <w:lvlText w:val=""/>
      <w:lvlJc w:val="left"/>
      <w:pPr>
        <w:ind w:left="2592" w:hanging="360"/>
      </w:pPr>
      <w:rPr>
        <w:rFonts w:ascii="Wingdings" w:hAnsi="Wingdings" w:hint="default"/>
      </w:rPr>
    </w:lvl>
    <w:lvl w:ilvl="3" w:tplc="0C0A0001" w:tentative="1">
      <w:start w:val="1"/>
      <w:numFmt w:val="bullet"/>
      <w:lvlText w:val=""/>
      <w:lvlJc w:val="left"/>
      <w:pPr>
        <w:ind w:left="3312" w:hanging="360"/>
      </w:pPr>
      <w:rPr>
        <w:rFonts w:ascii="Symbol" w:hAnsi="Symbol" w:hint="default"/>
      </w:rPr>
    </w:lvl>
    <w:lvl w:ilvl="4" w:tplc="0C0A0003" w:tentative="1">
      <w:start w:val="1"/>
      <w:numFmt w:val="bullet"/>
      <w:lvlText w:val="o"/>
      <w:lvlJc w:val="left"/>
      <w:pPr>
        <w:ind w:left="4032" w:hanging="360"/>
      </w:pPr>
      <w:rPr>
        <w:rFonts w:ascii="Courier New" w:hAnsi="Courier New" w:cs="Courier New" w:hint="default"/>
      </w:rPr>
    </w:lvl>
    <w:lvl w:ilvl="5" w:tplc="0C0A0005" w:tentative="1">
      <w:start w:val="1"/>
      <w:numFmt w:val="bullet"/>
      <w:lvlText w:val=""/>
      <w:lvlJc w:val="left"/>
      <w:pPr>
        <w:ind w:left="4752" w:hanging="360"/>
      </w:pPr>
      <w:rPr>
        <w:rFonts w:ascii="Wingdings" w:hAnsi="Wingdings" w:hint="default"/>
      </w:rPr>
    </w:lvl>
    <w:lvl w:ilvl="6" w:tplc="0C0A0001" w:tentative="1">
      <w:start w:val="1"/>
      <w:numFmt w:val="bullet"/>
      <w:lvlText w:val=""/>
      <w:lvlJc w:val="left"/>
      <w:pPr>
        <w:ind w:left="5472" w:hanging="360"/>
      </w:pPr>
      <w:rPr>
        <w:rFonts w:ascii="Symbol" w:hAnsi="Symbol" w:hint="default"/>
      </w:rPr>
    </w:lvl>
    <w:lvl w:ilvl="7" w:tplc="0C0A0003" w:tentative="1">
      <w:start w:val="1"/>
      <w:numFmt w:val="bullet"/>
      <w:lvlText w:val="o"/>
      <w:lvlJc w:val="left"/>
      <w:pPr>
        <w:ind w:left="6192" w:hanging="360"/>
      </w:pPr>
      <w:rPr>
        <w:rFonts w:ascii="Courier New" w:hAnsi="Courier New" w:cs="Courier New" w:hint="default"/>
      </w:rPr>
    </w:lvl>
    <w:lvl w:ilvl="8" w:tplc="0C0A0005" w:tentative="1">
      <w:start w:val="1"/>
      <w:numFmt w:val="bullet"/>
      <w:lvlText w:val=""/>
      <w:lvlJc w:val="left"/>
      <w:pPr>
        <w:ind w:left="6912" w:hanging="360"/>
      </w:pPr>
      <w:rPr>
        <w:rFonts w:ascii="Wingdings" w:hAnsi="Wingdings" w:hint="default"/>
      </w:rPr>
    </w:lvl>
  </w:abstractNum>
  <w:abstractNum w:abstractNumId="31" w15:restartNumberingAfterBreak="0">
    <w:nsid w:val="63712335"/>
    <w:multiLevelType w:val="hybridMultilevel"/>
    <w:tmpl w:val="170A212E"/>
    <w:lvl w:ilvl="0" w:tplc="2A6025C8">
      <w:start w:val="1"/>
      <w:numFmt w:val="bullet"/>
      <w:lvlText w:val=""/>
      <w:lvlJc w:val="left"/>
      <w:pPr>
        <w:ind w:left="1800" w:hanging="360"/>
      </w:pPr>
      <w:rPr>
        <w:rFonts w:ascii="Symbol" w:hAnsi="Symbol" w:hint="default"/>
        <w:color w:val="auto"/>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2" w15:restartNumberingAfterBreak="0">
    <w:nsid w:val="66102E63"/>
    <w:multiLevelType w:val="hybridMultilevel"/>
    <w:tmpl w:val="02D62E64"/>
    <w:lvl w:ilvl="0" w:tplc="0C0A0003">
      <w:start w:val="1"/>
      <w:numFmt w:val="bullet"/>
      <w:lvlText w:val="o"/>
      <w:lvlJc w:val="left"/>
      <w:pPr>
        <w:ind w:left="1584" w:hanging="360"/>
      </w:pPr>
      <w:rPr>
        <w:rFonts w:ascii="Courier New" w:hAnsi="Courier New" w:cs="Courier New" w:hint="default"/>
      </w:rPr>
    </w:lvl>
    <w:lvl w:ilvl="1" w:tplc="0C0A0003" w:tentative="1">
      <w:start w:val="1"/>
      <w:numFmt w:val="bullet"/>
      <w:lvlText w:val="o"/>
      <w:lvlJc w:val="left"/>
      <w:pPr>
        <w:ind w:left="2304" w:hanging="360"/>
      </w:pPr>
      <w:rPr>
        <w:rFonts w:ascii="Courier New" w:hAnsi="Courier New" w:cs="Courier New" w:hint="default"/>
      </w:rPr>
    </w:lvl>
    <w:lvl w:ilvl="2" w:tplc="0C0A0005" w:tentative="1">
      <w:start w:val="1"/>
      <w:numFmt w:val="bullet"/>
      <w:lvlText w:val=""/>
      <w:lvlJc w:val="left"/>
      <w:pPr>
        <w:ind w:left="3024" w:hanging="360"/>
      </w:pPr>
      <w:rPr>
        <w:rFonts w:ascii="Wingdings" w:hAnsi="Wingdings" w:hint="default"/>
      </w:rPr>
    </w:lvl>
    <w:lvl w:ilvl="3" w:tplc="0C0A0001" w:tentative="1">
      <w:start w:val="1"/>
      <w:numFmt w:val="bullet"/>
      <w:lvlText w:val=""/>
      <w:lvlJc w:val="left"/>
      <w:pPr>
        <w:ind w:left="3744" w:hanging="360"/>
      </w:pPr>
      <w:rPr>
        <w:rFonts w:ascii="Symbol" w:hAnsi="Symbol" w:hint="default"/>
      </w:rPr>
    </w:lvl>
    <w:lvl w:ilvl="4" w:tplc="0C0A0003" w:tentative="1">
      <w:start w:val="1"/>
      <w:numFmt w:val="bullet"/>
      <w:lvlText w:val="o"/>
      <w:lvlJc w:val="left"/>
      <w:pPr>
        <w:ind w:left="4464" w:hanging="360"/>
      </w:pPr>
      <w:rPr>
        <w:rFonts w:ascii="Courier New" w:hAnsi="Courier New" w:cs="Courier New" w:hint="default"/>
      </w:rPr>
    </w:lvl>
    <w:lvl w:ilvl="5" w:tplc="0C0A0005" w:tentative="1">
      <w:start w:val="1"/>
      <w:numFmt w:val="bullet"/>
      <w:lvlText w:val=""/>
      <w:lvlJc w:val="left"/>
      <w:pPr>
        <w:ind w:left="5184" w:hanging="360"/>
      </w:pPr>
      <w:rPr>
        <w:rFonts w:ascii="Wingdings" w:hAnsi="Wingdings" w:hint="default"/>
      </w:rPr>
    </w:lvl>
    <w:lvl w:ilvl="6" w:tplc="0C0A0001" w:tentative="1">
      <w:start w:val="1"/>
      <w:numFmt w:val="bullet"/>
      <w:lvlText w:val=""/>
      <w:lvlJc w:val="left"/>
      <w:pPr>
        <w:ind w:left="5904" w:hanging="360"/>
      </w:pPr>
      <w:rPr>
        <w:rFonts w:ascii="Symbol" w:hAnsi="Symbol" w:hint="default"/>
      </w:rPr>
    </w:lvl>
    <w:lvl w:ilvl="7" w:tplc="0C0A0003" w:tentative="1">
      <w:start w:val="1"/>
      <w:numFmt w:val="bullet"/>
      <w:lvlText w:val="o"/>
      <w:lvlJc w:val="left"/>
      <w:pPr>
        <w:ind w:left="6624" w:hanging="360"/>
      </w:pPr>
      <w:rPr>
        <w:rFonts w:ascii="Courier New" w:hAnsi="Courier New" w:cs="Courier New" w:hint="default"/>
      </w:rPr>
    </w:lvl>
    <w:lvl w:ilvl="8" w:tplc="0C0A0005" w:tentative="1">
      <w:start w:val="1"/>
      <w:numFmt w:val="bullet"/>
      <w:lvlText w:val=""/>
      <w:lvlJc w:val="left"/>
      <w:pPr>
        <w:ind w:left="7344" w:hanging="360"/>
      </w:pPr>
      <w:rPr>
        <w:rFonts w:ascii="Wingdings" w:hAnsi="Wingdings" w:hint="default"/>
      </w:rPr>
    </w:lvl>
  </w:abstractNum>
  <w:abstractNum w:abstractNumId="33" w15:restartNumberingAfterBreak="0">
    <w:nsid w:val="66C72ADB"/>
    <w:multiLevelType w:val="hybridMultilevel"/>
    <w:tmpl w:val="C76880C8"/>
    <w:lvl w:ilvl="0" w:tplc="0C0A0001">
      <w:start w:val="1"/>
      <w:numFmt w:val="bullet"/>
      <w:lvlText w:val=""/>
      <w:lvlJc w:val="left"/>
      <w:pPr>
        <w:ind w:left="1152" w:hanging="360"/>
      </w:pPr>
      <w:rPr>
        <w:rFonts w:ascii="Symbol" w:hAnsi="Symbol" w:hint="default"/>
      </w:rPr>
    </w:lvl>
    <w:lvl w:ilvl="1" w:tplc="0C0A0001">
      <w:start w:val="1"/>
      <w:numFmt w:val="bullet"/>
      <w:lvlText w:val=""/>
      <w:lvlJc w:val="left"/>
      <w:pPr>
        <w:ind w:left="1872" w:hanging="360"/>
      </w:pPr>
      <w:rPr>
        <w:rFonts w:ascii="Symbol" w:hAnsi="Symbol" w:hint="default"/>
      </w:rPr>
    </w:lvl>
    <w:lvl w:ilvl="2" w:tplc="0C0A0005" w:tentative="1">
      <w:start w:val="1"/>
      <w:numFmt w:val="bullet"/>
      <w:lvlText w:val=""/>
      <w:lvlJc w:val="left"/>
      <w:pPr>
        <w:ind w:left="2592" w:hanging="360"/>
      </w:pPr>
      <w:rPr>
        <w:rFonts w:ascii="Wingdings" w:hAnsi="Wingdings" w:hint="default"/>
      </w:rPr>
    </w:lvl>
    <w:lvl w:ilvl="3" w:tplc="0C0A0001" w:tentative="1">
      <w:start w:val="1"/>
      <w:numFmt w:val="bullet"/>
      <w:lvlText w:val=""/>
      <w:lvlJc w:val="left"/>
      <w:pPr>
        <w:ind w:left="3312" w:hanging="360"/>
      </w:pPr>
      <w:rPr>
        <w:rFonts w:ascii="Symbol" w:hAnsi="Symbol" w:hint="default"/>
      </w:rPr>
    </w:lvl>
    <w:lvl w:ilvl="4" w:tplc="0C0A0003" w:tentative="1">
      <w:start w:val="1"/>
      <w:numFmt w:val="bullet"/>
      <w:lvlText w:val="o"/>
      <w:lvlJc w:val="left"/>
      <w:pPr>
        <w:ind w:left="4032" w:hanging="360"/>
      </w:pPr>
      <w:rPr>
        <w:rFonts w:ascii="Courier New" w:hAnsi="Courier New" w:cs="Courier New" w:hint="default"/>
      </w:rPr>
    </w:lvl>
    <w:lvl w:ilvl="5" w:tplc="0C0A0005" w:tentative="1">
      <w:start w:val="1"/>
      <w:numFmt w:val="bullet"/>
      <w:lvlText w:val=""/>
      <w:lvlJc w:val="left"/>
      <w:pPr>
        <w:ind w:left="4752" w:hanging="360"/>
      </w:pPr>
      <w:rPr>
        <w:rFonts w:ascii="Wingdings" w:hAnsi="Wingdings" w:hint="default"/>
      </w:rPr>
    </w:lvl>
    <w:lvl w:ilvl="6" w:tplc="0C0A0001" w:tentative="1">
      <w:start w:val="1"/>
      <w:numFmt w:val="bullet"/>
      <w:lvlText w:val=""/>
      <w:lvlJc w:val="left"/>
      <w:pPr>
        <w:ind w:left="5472" w:hanging="360"/>
      </w:pPr>
      <w:rPr>
        <w:rFonts w:ascii="Symbol" w:hAnsi="Symbol" w:hint="default"/>
      </w:rPr>
    </w:lvl>
    <w:lvl w:ilvl="7" w:tplc="0C0A0003" w:tentative="1">
      <w:start w:val="1"/>
      <w:numFmt w:val="bullet"/>
      <w:lvlText w:val="o"/>
      <w:lvlJc w:val="left"/>
      <w:pPr>
        <w:ind w:left="6192" w:hanging="360"/>
      </w:pPr>
      <w:rPr>
        <w:rFonts w:ascii="Courier New" w:hAnsi="Courier New" w:cs="Courier New" w:hint="default"/>
      </w:rPr>
    </w:lvl>
    <w:lvl w:ilvl="8" w:tplc="0C0A0005" w:tentative="1">
      <w:start w:val="1"/>
      <w:numFmt w:val="bullet"/>
      <w:lvlText w:val=""/>
      <w:lvlJc w:val="left"/>
      <w:pPr>
        <w:ind w:left="6912" w:hanging="360"/>
      </w:pPr>
      <w:rPr>
        <w:rFonts w:ascii="Wingdings" w:hAnsi="Wingdings" w:hint="default"/>
      </w:rPr>
    </w:lvl>
  </w:abstractNum>
  <w:abstractNum w:abstractNumId="34" w15:restartNumberingAfterBreak="0">
    <w:nsid w:val="67754750"/>
    <w:multiLevelType w:val="hybridMultilevel"/>
    <w:tmpl w:val="14C41D20"/>
    <w:lvl w:ilvl="0" w:tplc="0C0A0003">
      <w:start w:val="1"/>
      <w:numFmt w:val="bullet"/>
      <w:lvlText w:val="o"/>
      <w:lvlJc w:val="left"/>
      <w:pPr>
        <w:ind w:left="1628" w:hanging="360"/>
      </w:pPr>
      <w:rPr>
        <w:rFonts w:ascii="Courier New" w:hAnsi="Courier New" w:cs="Courier New" w:hint="default"/>
      </w:rPr>
    </w:lvl>
    <w:lvl w:ilvl="1" w:tplc="0C0A0003" w:tentative="1">
      <w:start w:val="1"/>
      <w:numFmt w:val="bullet"/>
      <w:lvlText w:val="o"/>
      <w:lvlJc w:val="left"/>
      <w:pPr>
        <w:ind w:left="2348" w:hanging="360"/>
      </w:pPr>
      <w:rPr>
        <w:rFonts w:ascii="Courier New" w:hAnsi="Courier New" w:cs="Courier New" w:hint="default"/>
      </w:rPr>
    </w:lvl>
    <w:lvl w:ilvl="2" w:tplc="0C0A0005" w:tentative="1">
      <w:start w:val="1"/>
      <w:numFmt w:val="bullet"/>
      <w:lvlText w:val=""/>
      <w:lvlJc w:val="left"/>
      <w:pPr>
        <w:ind w:left="3068" w:hanging="360"/>
      </w:pPr>
      <w:rPr>
        <w:rFonts w:ascii="Wingdings" w:hAnsi="Wingdings" w:hint="default"/>
      </w:rPr>
    </w:lvl>
    <w:lvl w:ilvl="3" w:tplc="0C0A0001" w:tentative="1">
      <w:start w:val="1"/>
      <w:numFmt w:val="bullet"/>
      <w:lvlText w:val=""/>
      <w:lvlJc w:val="left"/>
      <w:pPr>
        <w:ind w:left="3788" w:hanging="360"/>
      </w:pPr>
      <w:rPr>
        <w:rFonts w:ascii="Symbol" w:hAnsi="Symbol" w:hint="default"/>
      </w:rPr>
    </w:lvl>
    <w:lvl w:ilvl="4" w:tplc="0C0A0003" w:tentative="1">
      <w:start w:val="1"/>
      <w:numFmt w:val="bullet"/>
      <w:lvlText w:val="o"/>
      <w:lvlJc w:val="left"/>
      <w:pPr>
        <w:ind w:left="4508" w:hanging="360"/>
      </w:pPr>
      <w:rPr>
        <w:rFonts w:ascii="Courier New" w:hAnsi="Courier New" w:cs="Courier New" w:hint="default"/>
      </w:rPr>
    </w:lvl>
    <w:lvl w:ilvl="5" w:tplc="0C0A0005" w:tentative="1">
      <w:start w:val="1"/>
      <w:numFmt w:val="bullet"/>
      <w:lvlText w:val=""/>
      <w:lvlJc w:val="left"/>
      <w:pPr>
        <w:ind w:left="5228" w:hanging="360"/>
      </w:pPr>
      <w:rPr>
        <w:rFonts w:ascii="Wingdings" w:hAnsi="Wingdings" w:hint="default"/>
      </w:rPr>
    </w:lvl>
    <w:lvl w:ilvl="6" w:tplc="0C0A0001" w:tentative="1">
      <w:start w:val="1"/>
      <w:numFmt w:val="bullet"/>
      <w:lvlText w:val=""/>
      <w:lvlJc w:val="left"/>
      <w:pPr>
        <w:ind w:left="5948" w:hanging="360"/>
      </w:pPr>
      <w:rPr>
        <w:rFonts w:ascii="Symbol" w:hAnsi="Symbol" w:hint="default"/>
      </w:rPr>
    </w:lvl>
    <w:lvl w:ilvl="7" w:tplc="0C0A0003" w:tentative="1">
      <w:start w:val="1"/>
      <w:numFmt w:val="bullet"/>
      <w:lvlText w:val="o"/>
      <w:lvlJc w:val="left"/>
      <w:pPr>
        <w:ind w:left="6668" w:hanging="360"/>
      </w:pPr>
      <w:rPr>
        <w:rFonts w:ascii="Courier New" w:hAnsi="Courier New" w:cs="Courier New" w:hint="default"/>
      </w:rPr>
    </w:lvl>
    <w:lvl w:ilvl="8" w:tplc="0C0A0005" w:tentative="1">
      <w:start w:val="1"/>
      <w:numFmt w:val="bullet"/>
      <w:lvlText w:val=""/>
      <w:lvlJc w:val="left"/>
      <w:pPr>
        <w:ind w:left="7388" w:hanging="360"/>
      </w:pPr>
      <w:rPr>
        <w:rFonts w:ascii="Wingdings" w:hAnsi="Wingdings" w:hint="default"/>
      </w:rPr>
    </w:lvl>
  </w:abstractNum>
  <w:abstractNum w:abstractNumId="35" w15:restartNumberingAfterBreak="0">
    <w:nsid w:val="6B5F5834"/>
    <w:multiLevelType w:val="hybridMultilevel"/>
    <w:tmpl w:val="2638BAE2"/>
    <w:lvl w:ilvl="0" w:tplc="0C0A0001">
      <w:start w:val="1"/>
      <w:numFmt w:val="bullet"/>
      <w:lvlText w:val=""/>
      <w:lvlJc w:val="left"/>
      <w:pPr>
        <w:ind w:left="1584" w:hanging="360"/>
      </w:pPr>
      <w:rPr>
        <w:rFonts w:ascii="Symbol" w:hAnsi="Symbol" w:hint="default"/>
      </w:rPr>
    </w:lvl>
    <w:lvl w:ilvl="1" w:tplc="0C0A0003" w:tentative="1">
      <w:start w:val="1"/>
      <w:numFmt w:val="bullet"/>
      <w:lvlText w:val="o"/>
      <w:lvlJc w:val="left"/>
      <w:pPr>
        <w:ind w:left="2304" w:hanging="360"/>
      </w:pPr>
      <w:rPr>
        <w:rFonts w:ascii="Courier New" w:hAnsi="Courier New" w:cs="Courier New" w:hint="default"/>
      </w:rPr>
    </w:lvl>
    <w:lvl w:ilvl="2" w:tplc="0C0A0005" w:tentative="1">
      <w:start w:val="1"/>
      <w:numFmt w:val="bullet"/>
      <w:lvlText w:val=""/>
      <w:lvlJc w:val="left"/>
      <w:pPr>
        <w:ind w:left="3024" w:hanging="360"/>
      </w:pPr>
      <w:rPr>
        <w:rFonts w:ascii="Wingdings" w:hAnsi="Wingdings" w:hint="default"/>
      </w:rPr>
    </w:lvl>
    <w:lvl w:ilvl="3" w:tplc="0C0A0001" w:tentative="1">
      <w:start w:val="1"/>
      <w:numFmt w:val="bullet"/>
      <w:lvlText w:val=""/>
      <w:lvlJc w:val="left"/>
      <w:pPr>
        <w:ind w:left="3744" w:hanging="360"/>
      </w:pPr>
      <w:rPr>
        <w:rFonts w:ascii="Symbol" w:hAnsi="Symbol" w:hint="default"/>
      </w:rPr>
    </w:lvl>
    <w:lvl w:ilvl="4" w:tplc="0C0A0003" w:tentative="1">
      <w:start w:val="1"/>
      <w:numFmt w:val="bullet"/>
      <w:lvlText w:val="o"/>
      <w:lvlJc w:val="left"/>
      <w:pPr>
        <w:ind w:left="4464" w:hanging="360"/>
      </w:pPr>
      <w:rPr>
        <w:rFonts w:ascii="Courier New" w:hAnsi="Courier New" w:cs="Courier New" w:hint="default"/>
      </w:rPr>
    </w:lvl>
    <w:lvl w:ilvl="5" w:tplc="0C0A0005" w:tentative="1">
      <w:start w:val="1"/>
      <w:numFmt w:val="bullet"/>
      <w:lvlText w:val=""/>
      <w:lvlJc w:val="left"/>
      <w:pPr>
        <w:ind w:left="5184" w:hanging="360"/>
      </w:pPr>
      <w:rPr>
        <w:rFonts w:ascii="Wingdings" w:hAnsi="Wingdings" w:hint="default"/>
      </w:rPr>
    </w:lvl>
    <w:lvl w:ilvl="6" w:tplc="0C0A0001" w:tentative="1">
      <w:start w:val="1"/>
      <w:numFmt w:val="bullet"/>
      <w:lvlText w:val=""/>
      <w:lvlJc w:val="left"/>
      <w:pPr>
        <w:ind w:left="5904" w:hanging="360"/>
      </w:pPr>
      <w:rPr>
        <w:rFonts w:ascii="Symbol" w:hAnsi="Symbol" w:hint="default"/>
      </w:rPr>
    </w:lvl>
    <w:lvl w:ilvl="7" w:tplc="0C0A0003" w:tentative="1">
      <w:start w:val="1"/>
      <w:numFmt w:val="bullet"/>
      <w:lvlText w:val="o"/>
      <w:lvlJc w:val="left"/>
      <w:pPr>
        <w:ind w:left="6624" w:hanging="360"/>
      </w:pPr>
      <w:rPr>
        <w:rFonts w:ascii="Courier New" w:hAnsi="Courier New" w:cs="Courier New" w:hint="default"/>
      </w:rPr>
    </w:lvl>
    <w:lvl w:ilvl="8" w:tplc="0C0A0005" w:tentative="1">
      <w:start w:val="1"/>
      <w:numFmt w:val="bullet"/>
      <w:lvlText w:val=""/>
      <w:lvlJc w:val="left"/>
      <w:pPr>
        <w:ind w:left="7344" w:hanging="360"/>
      </w:pPr>
      <w:rPr>
        <w:rFonts w:ascii="Wingdings" w:hAnsi="Wingdings" w:hint="default"/>
      </w:rPr>
    </w:lvl>
  </w:abstractNum>
  <w:abstractNum w:abstractNumId="36" w15:restartNumberingAfterBreak="0">
    <w:nsid w:val="6EE17033"/>
    <w:multiLevelType w:val="hybridMultilevel"/>
    <w:tmpl w:val="8612D10E"/>
    <w:lvl w:ilvl="0" w:tplc="0C0A0001">
      <w:start w:val="1"/>
      <w:numFmt w:val="bullet"/>
      <w:lvlText w:val=""/>
      <w:lvlJc w:val="left"/>
      <w:pPr>
        <w:tabs>
          <w:tab w:val="num" w:pos="1800"/>
        </w:tabs>
        <w:ind w:left="1800" w:hanging="360"/>
      </w:pPr>
      <w:rPr>
        <w:rFonts w:ascii="Symbol" w:hAnsi="Symbol" w:hint="default"/>
      </w:rPr>
    </w:lvl>
    <w:lvl w:ilvl="1" w:tplc="0C0A0017">
      <w:start w:val="1"/>
      <w:numFmt w:val="lowerLetter"/>
      <w:lvlText w:val="%2)"/>
      <w:lvlJc w:val="left"/>
      <w:pPr>
        <w:tabs>
          <w:tab w:val="num" w:pos="2825"/>
        </w:tabs>
        <w:ind w:left="2825" w:hanging="360"/>
      </w:pPr>
      <w:rPr>
        <w:rFonts w:hint="default"/>
      </w:rPr>
    </w:lvl>
    <w:lvl w:ilvl="2" w:tplc="0C0A0005" w:tentative="1">
      <w:start w:val="1"/>
      <w:numFmt w:val="bullet"/>
      <w:lvlText w:val=""/>
      <w:lvlJc w:val="left"/>
      <w:pPr>
        <w:tabs>
          <w:tab w:val="num" w:pos="3545"/>
        </w:tabs>
        <w:ind w:left="3545" w:hanging="360"/>
      </w:pPr>
      <w:rPr>
        <w:rFonts w:ascii="Wingdings" w:hAnsi="Wingdings" w:hint="default"/>
      </w:rPr>
    </w:lvl>
    <w:lvl w:ilvl="3" w:tplc="0C0A0001" w:tentative="1">
      <w:start w:val="1"/>
      <w:numFmt w:val="bullet"/>
      <w:lvlText w:val=""/>
      <w:lvlJc w:val="left"/>
      <w:pPr>
        <w:tabs>
          <w:tab w:val="num" w:pos="4265"/>
        </w:tabs>
        <w:ind w:left="4265" w:hanging="360"/>
      </w:pPr>
      <w:rPr>
        <w:rFonts w:ascii="Symbol" w:hAnsi="Symbol" w:hint="default"/>
      </w:rPr>
    </w:lvl>
    <w:lvl w:ilvl="4" w:tplc="0C0A0003" w:tentative="1">
      <w:start w:val="1"/>
      <w:numFmt w:val="bullet"/>
      <w:lvlText w:val="o"/>
      <w:lvlJc w:val="left"/>
      <w:pPr>
        <w:tabs>
          <w:tab w:val="num" w:pos="4985"/>
        </w:tabs>
        <w:ind w:left="4985" w:hanging="360"/>
      </w:pPr>
      <w:rPr>
        <w:rFonts w:ascii="Courier New" w:hAnsi="Courier New" w:cs="Courier New" w:hint="default"/>
      </w:rPr>
    </w:lvl>
    <w:lvl w:ilvl="5" w:tplc="0C0A0005" w:tentative="1">
      <w:start w:val="1"/>
      <w:numFmt w:val="bullet"/>
      <w:lvlText w:val=""/>
      <w:lvlJc w:val="left"/>
      <w:pPr>
        <w:tabs>
          <w:tab w:val="num" w:pos="5705"/>
        </w:tabs>
        <w:ind w:left="5705" w:hanging="360"/>
      </w:pPr>
      <w:rPr>
        <w:rFonts w:ascii="Wingdings" w:hAnsi="Wingdings" w:hint="default"/>
      </w:rPr>
    </w:lvl>
    <w:lvl w:ilvl="6" w:tplc="0C0A0001" w:tentative="1">
      <w:start w:val="1"/>
      <w:numFmt w:val="bullet"/>
      <w:lvlText w:val=""/>
      <w:lvlJc w:val="left"/>
      <w:pPr>
        <w:tabs>
          <w:tab w:val="num" w:pos="6425"/>
        </w:tabs>
        <w:ind w:left="6425" w:hanging="360"/>
      </w:pPr>
      <w:rPr>
        <w:rFonts w:ascii="Symbol" w:hAnsi="Symbol" w:hint="default"/>
      </w:rPr>
    </w:lvl>
    <w:lvl w:ilvl="7" w:tplc="0C0A0003" w:tentative="1">
      <w:start w:val="1"/>
      <w:numFmt w:val="bullet"/>
      <w:lvlText w:val="o"/>
      <w:lvlJc w:val="left"/>
      <w:pPr>
        <w:tabs>
          <w:tab w:val="num" w:pos="7145"/>
        </w:tabs>
        <w:ind w:left="7145" w:hanging="360"/>
      </w:pPr>
      <w:rPr>
        <w:rFonts w:ascii="Courier New" w:hAnsi="Courier New" w:cs="Courier New" w:hint="default"/>
      </w:rPr>
    </w:lvl>
    <w:lvl w:ilvl="8" w:tplc="0C0A0005" w:tentative="1">
      <w:start w:val="1"/>
      <w:numFmt w:val="bullet"/>
      <w:lvlText w:val=""/>
      <w:lvlJc w:val="left"/>
      <w:pPr>
        <w:tabs>
          <w:tab w:val="num" w:pos="7865"/>
        </w:tabs>
        <w:ind w:left="7865" w:hanging="360"/>
      </w:pPr>
      <w:rPr>
        <w:rFonts w:ascii="Wingdings" w:hAnsi="Wingdings" w:hint="default"/>
      </w:rPr>
    </w:lvl>
  </w:abstractNum>
  <w:abstractNum w:abstractNumId="37" w15:restartNumberingAfterBreak="0">
    <w:nsid w:val="708320A9"/>
    <w:multiLevelType w:val="hybridMultilevel"/>
    <w:tmpl w:val="F7B6BF9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2FC7F1D"/>
    <w:multiLevelType w:val="multilevel"/>
    <w:tmpl w:val="B970B0FE"/>
    <w:lvl w:ilvl="0">
      <w:start w:val="1"/>
      <w:numFmt w:val="decimal"/>
      <w:lvlText w:val="%1."/>
      <w:lvlJc w:val="left"/>
      <w:pPr>
        <w:tabs>
          <w:tab w:val="num" w:pos="360"/>
        </w:tabs>
        <w:ind w:left="360" w:hanging="360"/>
      </w:pPr>
      <w:rPr>
        <w:rFonts w:hint="default"/>
        <w:sz w:val="26"/>
        <w:szCs w:val="26"/>
      </w:rPr>
    </w:lvl>
    <w:lvl w:ilvl="1">
      <w:start w:val="1"/>
      <w:numFmt w:val="decimal"/>
      <w:lvlText w:val="%1.%2."/>
      <w:lvlJc w:val="left"/>
      <w:pPr>
        <w:tabs>
          <w:tab w:val="num" w:pos="792"/>
        </w:tabs>
        <w:ind w:left="792" w:hanging="432"/>
      </w:pPr>
      <w:rPr>
        <w:rFonts w:hint="default"/>
        <w:sz w:val="26"/>
        <w:szCs w:val="26"/>
      </w:rPr>
    </w:lvl>
    <w:lvl w:ilvl="2">
      <w:start w:val="1"/>
      <w:numFmt w:val="decimal"/>
      <w:lvlText w:val="%1.%2.%3."/>
      <w:lvlJc w:val="left"/>
      <w:pPr>
        <w:tabs>
          <w:tab w:val="num" w:pos="1440"/>
        </w:tabs>
        <w:ind w:left="1224" w:hanging="504"/>
      </w:pPr>
      <w:rPr>
        <w:rFonts w:hint="default"/>
        <w:color w:val="000000"/>
        <w:sz w:val="26"/>
        <w:szCs w:val="26"/>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8117FB1"/>
    <w:multiLevelType w:val="hybridMultilevel"/>
    <w:tmpl w:val="58949B0E"/>
    <w:lvl w:ilvl="0" w:tplc="0C0A0003">
      <w:start w:val="1"/>
      <w:numFmt w:val="bullet"/>
      <w:lvlText w:val="o"/>
      <w:lvlJc w:val="left"/>
      <w:pPr>
        <w:tabs>
          <w:tab w:val="num" w:pos="360"/>
        </w:tabs>
        <w:ind w:left="360" w:hanging="360"/>
      </w:pPr>
      <w:rPr>
        <w:rFonts w:ascii="Courier New" w:hAnsi="Courier New" w:cs="Courier New" w:hint="default"/>
      </w:rPr>
    </w:lvl>
    <w:lvl w:ilvl="1" w:tplc="DCE28524">
      <w:start w:val="1"/>
      <w:numFmt w:val="bullet"/>
      <w:lvlText w:val="o"/>
      <w:lvlJc w:val="left"/>
      <w:pPr>
        <w:tabs>
          <w:tab w:val="num" w:pos="720"/>
        </w:tabs>
        <w:ind w:left="1004" w:hanging="284"/>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CE82515"/>
    <w:multiLevelType w:val="hybridMultilevel"/>
    <w:tmpl w:val="8190D30E"/>
    <w:lvl w:ilvl="0" w:tplc="212CED14">
      <w:numFmt w:val="bullet"/>
      <w:lvlText w:val="-"/>
      <w:lvlJc w:val="left"/>
      <w:pPr>
        <w:tabs>
          <w:tab w:val="num" w:pos="1800"/>
        </w:tabs>
        <w:ind w:left="1800" w:hanging="360"/>
      </w:pPr>
      <w:rPr>
        <w:rFonts w:ascii="Times New Roman" w:eastAsia="Times New Roman" w:hAnsi="Times New Roman" w:cs="Times New Roman" w:hint="default"/>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41" w15:restartNumberingAfterBreak="0">
    <w:nsid w:val="7D115365"/>
    <w:multiLevelType w:val="hybridMultilevel"/>
    <w:tmpl w:val="14742DC0"/>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FC170EC"/>
    <w:multiLevelType w:val="hybridMultilevel"/>
    <w:tmpl w:val="336AF7C2"/>
    <w:lvl w:ilvl="0" w:tplc="0C0A0001">
      <w:start w:val="1"/>
      <w:numFmt w:val="bullet"/>
      <w:lvlText w:val=""/>
      <w:lvlJc w:val="left"/>
      <w:pPr>
        <w:tabs>
          <w:tab w:val="num" w:pos="1080"/>
        </w:tabs>
        <w:ind w:left="1080" w:hanging="360"/>
      </w:pPr>
      <w:rPr>
        <w:rFonts w:ascii="Symbol" w:hAnsi="Symbol" w:hint="default"/>
      </w:rPr>
    </w:lvl>
    <w:lvl w:ilvl="1" w:tplc="0C0A0001">
      <w:start w:val="1"/>
      <w:numFmt w:val="bullet"/>
      <w:lvlText w:val=""/>
      <w:lvlJc w:val="left"/>
      <w:pPr>
        <w:ind w:left="1800" w:hanging="360"/>
      </w:pPr>
      <w:rPr>
        <w:rFonts w:ascii="Symbol" w:hAnsi="Symbol" w:hint="default"/>
      </w:rPr>
    </w:lvl>
    <w:lvl w:ilvl="2" w:tplc="0C0A0005">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num w:numId="1" w16cid:durableId="1389524869">
    <w:abstractNumId w:val="12"/>
  </w:num>
  <w:num w:numId="2" w16cid:durableId="2052881411">
    <w:abstractNumId w:val="7"/>
  </w:num>
  <w:num w:numId="3" w16cid:durableId="1501584304">
    <w:abstractNumId w:val="36"/>
  </w:num>
  <w:num w:numId="4" w16cid:durableId="1225750142">
    <w:abstractNumId w:val="39"/>
  </w:num>
  <w:num w:numId="5" w16cid:durableId="556475914">
    <w:abstractNumId w:val="9"/>
  </w:num>
  <w:num w:numId="6" w16cid:durableId="84108618">
    <w:abstractNumId w:val="8"/>
  </w:num>
  <w:num w:numId="7" w16cid:durableId="183640426">
    <w:abstractNumId w:val="41"/>
  </w:num>
  <w:num w:numId="8" w16cid:durableId="653804524">
    <w:abstractNumId w:val="42"/>
  </w:num>
  <w:num w:numId="9" w16cid:durableId="1790660346">
    <w:abstractNumId w:val="29"/>
  </w:num>
  <w:num w:numId="10" w16cid:durableId="620262444">
    <w:abstractNumId w:val="6"/>
  </w:num>
  <w:num w:numId="11" w16cid:durableId="425460174">
    <w:abstractNumId w:val="13"/>
  </w:num>
  <w:num w:numId="12" w16cid:durableId="2061594473">
    <w:abstractNumId w:val="18"/>
  </w:num>
  <w:num w:numId="13" w16cid:durableId="1389843511">
    <w:abstractNumId w:val="37"/>
  </w:num>
  <w:num w:numId="14" w16cid:durableId="478156360">
    <w:abstractNumId w:val="1"/>
  </w:num>
  <w:num w:numId="15" w16cid:durableId="27461371">
    <w:abstractNumId w:val="27"/>
  </w:num>
  <w:num w:numId="16" w16cid:durableId="190339201">
    <w:abstractNumId w:val="24"/>
  </w:num>
  <w:num w:numId="17" w16cid:durableId="352390850">
    <w:abstractNumId w:val="0"/>
  </w:num>
  <w:num w:numId="18" w16cid:durableId="1384670637">
    <w:abstractNumId w:val="3"/>
  </w:num>
  <w:num w:numId="19" w16cid:durableId="1701204416">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471320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455984">
    <w:abstractNumId w:val="23"/>
  </w:num>
  <w:num w:numId="22" w16cid:durableId="606810035">
    <w:abstractNumId w:val="11"/>
  </w:num>
  <w:num w:numId="23" w16cid:durableId="644435116">
    <w:abstractNumId w:val="22"/>
  </w:num>
  <w:num w:numId="24" w16cid:durableId="682317534">
    <w:abstractNumId w:val="40"/>
  </w:num>
  <w:num w:numId="25" w16cid:durableId="1567446902">
    <w:abstractNumId w:val="19"/>
  </w:num>
  <w:num w:numId="26" w16cid:durableId="516695271">
    <w:abstractNumId w:val="16"/>
  </w:num>
  <w:num w:numId="27" w16cid:durableId="835265530">
    <w:abstractNumId w:val="33"/>
  </w:num>
  <w:num w:numId="28" w16cid:durableId="562721117">
    <w:abstractNumId w:val="15"/>
  </w:num>
  <w:num w:numId="29" w16cid:durableId="1761639961">
    <w:abstractNumId w:val="32"/>
  </w:num>
  <w:num w:numId="30" w16cid:durableId="1534610271">
    <w:abstractNumId w:val="34"/>
  </w:num>
  <w:num w:numId="31" w16cid:durableId="1293364388">
    <w:abstractNumId w:val="26"/>
  </w:num>
  <w:num w:numId="32" w16cid:durableId="14891902">
    <w:abstractNumId w:val="21"/>
  </w:num>
  <w:num w:numId="33" w16cid:durableId="448356383">
    <w:abstractNumId w:val="14"/>
  </w:num>
  <w:num w:numId="34" w16cid:durableId="1551920573">
    <w:abstractNumId w:val="25"/>
  </w:num>
  <w:num w:numId="35" w16cid:durableId="1045131842">
    <w:abstractNumId w:val="10"/>
  </w:num>
  <w:num w:numId="36" w16cid:durableId="1436436335">
    <w:abstractNumId w:val="30"/>
  </w:num>
  <w:num w:numId="37" w16cid:durableId="2052609422">
    <w:abstractNumId w:val="5"/>
  </w:num>
  <w:num w:numId="38" w16cid:durableId="1571311783">
    <w:abstractNumId w:val="35"/>
  </w:num>
  <w:num w:numId="39" w16cid:durableId="1251083594">
    <w:abstractNumId w:val="31"/>
  </w:num>
  <w:num w:numId="40" w16cid:durableId="414129107">
    <w:abstractNumId w:val="28"/>
  </w:num>
  <w:num w:numId="41" w16cid:durableId="684676635">
    <w:abstractNumId w:val="2"/>
  </w:num>
  <w:num w:numId="42" w16cid:durableId="548997650">
    <w:abstractNumId w:val="4"/>
  </w:num>
  <w:num w:numId="43" w16cid:durableId="1442145233">
    <w:abstractNumId w:val="3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pos w:val="beneathText"/>
    <w:footnote w:id="-1"/>
    <w:footnote w:id="0"/>
  </w:footnotePr>
  <w:endnotePr>
    <w:numFmt w:val="decimal"/>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iertoWord2000" w:val="1"/>
    <w:docVar w:name="CopiaAutorizada" w:val="0"/>
    <w:docVar w:name="CopiaSimple" w:val="0"/>
    <w:docVar w:name="Matriz" w:val="0"/>
    <w:docVar w:name="SoloEuros" w:val="1"/>
  </w:docVars>
  <w:rsids>
    <w:rsidRoot w:val="00EE1145"/>
    <w:rsid w:val="00000FCC"/>
    <w:rsid w:val="0000127E"/>
    <w:rsid w:val="00001D0E"/>
    <w:rsid w:val="00001E5E"/>
    <w:rsid w:val="00002F9E"/>
    <w:rsid w:val="00003BAA"/>
    <w:rsid w:val="0000490F"/>
    <w:rsid w:val="0000557C"/>
    <w:rsid w:val="000059CC"/>
    <w:rsid w:val="00007CCE"/>
    <w:rsid w:val="00007E8C"/>
    <w:rsid w:val="00007EDC"/>
    <w:rsid w:val="00010722"/>
    <w:rsid w:val="00010C79"/>
    <w:rsid w:val="00012574"/>
    <w:rsid w:val="00012856"/>
    <w:rsid w:val="000132E5"/>
    <w:rsid w:val="00013DD5"/>
    <w:rsid w:val="000148D0"/>
    <w:rsid w:val="00014D07"/>
    <w:rsid w:val="00015278"/>
    <w:rsid w:val="00015675"/>
    <w:rsid w:val="00016A10"/>
    <w:rsid w:val="000174A7"/>
    <w:rsid w:val="00021820"/>
    <w:rsid w:val="000226AB"/>
    <w:rsid w:val="00022C1F"/>
    <w:rsid w:val="00022F6A"/>
    <w:rsid w:val="00023E5E"/>
    <w:rsid w:val="000248C3"/>
    <w:rsid w:val="00024E94"/>
    <w:rsid w:val="000250BE"/>
    <w:rsid w:val="00025A01"/>
    <w:rsid w:val="00025EEA"/>
    <w:rsid w:val="00030A59"/>
    <w:rsid w:val="00033225"/>
    <w:rsid w:val="000350C0"/>
    <w:rsid w:val="00035DE8"/>
    <w:rsid w:val="00036F1B"/>
    <w:rsid w:val="0003789A"/>
    <w:rsid w:val="00041547"/>
    <w:rsid w:val="00043AB0"/>
    <w:rsid w:val="000443C7"/>
    <w:rsid w:val="000444CC"/>
    <w:rsid w:val="000448B0"/>
    <w:rsid w:val="00044BF8"/>
    <w:rsid w:val="000450F2"/>
    <w:rsid w:val="000456C3"/>
    <w:rsid w:val="00045A8C"/>
    <w:rsid w:val="00046095"/>
    <w:rsid w:val="00046857"/>
    <w:rsid w:val="0004713D"/>
    <w:rsid w:val="00047637"/>
    <w:rsid w:val="00050E1B"/>
    <w:rsid w:val="00051321"/>
    <w:rsid w:val="00052F2C"/>
    <w:rsid w:val="00053BAF"/>
    <w:rsid w:val="00054111"/>
    <w:rsid w:val="00054946"/>
    <w:rsid w:val="00055D2C"/>
    <w:rsid w:val="00056B77"/>
    <w:rsid w:val="00056C19"/>
    <w:rsid w:val="000578DA"/>
    <w:rsid w:val="00057C13"/>
    <w:rsid w:val="0006019D"/>
    <w:rsid w:val="00060E12"/>
    <w:rsid w:val="00063CD9"/>
    <w:rsid w:val="00065484"/>
    <w:rsid w:val="00065E6F"/>
    <w:rsid w:val="00067561"/>
    <w:rsid w:val="0007039E"/>
    <w:rsid w:val="00071DAC"/>
    <w:rsid w:val="00073D7E"/>
    <w:rsid w:val="000740E2"/>
    <w:rsid w:val="000742E0"/>
    <w:rsid w:val="00075770"/>
    <w:rsid w:val="00076FA1"/>
    <w:rsid w:val="00077997"/>
    <w:rsid w:val="00080099"/>
    <w:rsid w:val="00080295"/>
    <w:rsid w:val="00080327"/>
    <w:rsid w:val="000810B7"/>
    <w:rsid w:val="00081803"/>
    <w:rsid w:val="000831E8"/>
    <w:rsid w:val="000862D4"/>
    <w:rsid w:val="00086372"/>
    <w:rsid w:val="00086827"/>
    <w:rsid w:val="000869E6"/>
    <w:rsid w:val="000907C3"/>
    <w:rsid w:val="000909BF"/>
    <w:rsid w:val="00090A9F"/>
    <w:rsid w:val="00090DAD"/>
    <w:rsid w:val="000916AF"/>
    <w:rsid w:val="00092506"/>
    <w:rsid w:val="00092B4E"/>
    <w:rsid w:val="00095842"/>
    <w:rsid w:val="00095DE2"/>
    <w:rsid w:val="0009721A"/>
    <w:rsid w:val="000A1BBA"/>
    <w:rsid w:val="000A1DB8"/>
    <w:rsid w:val="000A21AF"/>
    <w:rsid w:val="000A28E2"/>
    <w:rsid w:val="000A340A"/>
    <w:rsid w:val="000A43B0"/>
    <w:rsid w:val="000A45F9"/>
    <w:rsid w:val="000A5A69"/>
    <w:rsid w:val="000A6092"/>
    <w:rsid w:val="000A6A46"/>
    <w:rsid w:val="000A7B1D"/>
    <w:rsid w:val="000B035B"/>
    <w:rsid w:val="000B0F7C"/>
    <w:rsid w:val="000B144F"/>
    <w:rsid w:val="000B23DA"/>
    <w:rsid w:val="000B4947"/>
    <w:rsid w:val="000B4E5F"/>
    <w:rsid w:val="000B4EFB"/>
    <w:rsid w:val="000B56F0"/>
    <w:rsid w:val="000B5EF1"/>
    <w:rsid w:val="000B768A"/>
    <w:rsid w:val="000B7FA7"/>
    <w:rsid w:val="000C030C"/>
    <w:rsid w:val="000C05FC"/>
    <w:rsid w:val="000C1561"/>
    <w:rsid w:val="000C1894"/>
    <w:rsid w:val="000C1964"/>
    <w:rsid w:val="000C2024"/>
    <w:rsid w:val="000C20C0"/>
    <w:rsid w:val="000C247A"/>
    <w:rsid w:val="000C2859"/>
    <w:rsid w:val="000C321C"/>
    <w:rsid w:val="000C3392"/>
    <w:rsid w:val="000C4A9F"/>
    <w:rsid w:val="000C4CA9"/>
    <w:rsid w:val="000C4FAE"/>
    <w:rsid w:val="000C640A"/>
    <w:rsid w:val="000C7FF8"/>
    <w:rsid w:val="000D1000"/>
    <w:rsid w:val="000D1052"/>
    <w:rsid w:val="000D1E66"/>
    <w:rsid w:val="000D2C24"/>
    <w:rsid w:val="000D2E2D"/>
    <w:rsid w:val="000D4DCA"/>
    <w:rsid w:val="000D5164"/>
    <w:rsid w:val="000D541B"/>
    <w:rsid w:val="000D61C9"/>
    <w:rsid w:val="000D649D"/>
    <w:rsid w:val="000D686E"/>
    <w:rsid w:val="000D6961"/>
    <w:rsid w:val="000E0CF3"/>
    <w:rsid w:val="000E138E"/>
    <w:rsid w:val="000E2360"/>
    <w:rsid w:val="000E4844"/>
    <w:rsid w:val="000E5CDA"/>
    <w:rsid w:val="000E7B77"/>
    <w:rsid w:val="000E7CF0"/>
    <w:rsid w:val="000F0906"/>
    <w:rsid w:val="000F1601"/>
    <w:rsid w:val="000F1E21"/>
    <w:rsid w:val="000F2EC1"/>
    <w:rsid w:val="000F3B7A"/>
    <w:rsid w:val="000F3F41"/>
    <w:rsid w:val="000F47EF"/>
    <w:rsid w:val="000F48C3"/>
    <w:rsid w:val="000F4B2D"/>
    <w:rsid w:val="000F58A3"/>
    <w:rsid w:val="000F58BB"/>
    <w:rsid w:val="000F5F27"/>
    <w:rsid w:val="000F6672"/>
    <w:rsid w:val="000F6A91"/>
    <w:rsid w:val="000F792F"/>
    <w:rsid w:val="000F7964"/>
    <w:rsid w:val="000F7B5E"/>
    <w:rsid w:val="000F7D88"/>
    <w:rsid w:val="001003D9"/>
    <w:rsid w:val="00100E0E"/>
    <w:rsid w:val="00101100"/>
    <w:rsid w:val="0010307D"/>
    <w:rsid w:val="0010482B"/>
    <w:rsid w:val="001048EF"/>
    <w:rsid w:val="00107704"/>
    <w:rsid w:val="00107F0C"/>
    <w:rsid w:val="00110DBB"/>
    <w:rsid w:val="00110F82"/>
    <w:rsid w:val="00111DDE"/>
    <w:rsid w:val="00112D64"/>
    <w:rsid w:val="00115049"/>
    <w:rsid w:val="0011508D"/>
    <w:rsid w:val="001155C8"/>
    <w:rsid w:val="0011569F"/>
    <w:rsid w:val="00115BAF"/>
    <w:rsid w:val="0011663F"/>
    <w:rsid w:val="00116683"/>
    <w:rsid w:val="00116B2F"/>
    <w:rsid w:val="00117FCC"/>
    <w:rsid w:val="0012232D"/>
    <w:rsid w:val="00122C87"/>
    <w:rsid w:val="00123C48"/>
    <w:rsid w:val="00123E9D"/>
    <w:rsid w:val="00124129"/>
    <w:rsid w:val="00124517"/>
    <w:rsid w:val="00124E74"/>
    <w:rsid w:val="001267D7"/>
    <w:rsid w:val="00126AAB"/>
    <w:rsid w:val="00127A51"/>
    <w:rsid w:val="001302DB"/>
    <w:rsid w:val="001303BE"/>
    <w:rsid w:val="00131D34"/>
    <w:rsid w:val="001334B8"/>
    <w:rsid w:val="0013578B"/>
    <w:rsid w:val="001360FB"/>
    <w:rsid w:val="00136ACA"/>
    <w:rsid w:val="00140DBE"/>
    <w:rsid w:val="001418CF"/>
    <w:rsid w:val="0014361E"/>
    <w:rsid w:val="00143D38"/>
    <w:rsid w:val="00144214"/>
    <w:rsid w:val="00144766"/>
    <w:rsid w:val="00146C05"/>
    <w:rsid w:val="00147BC7"/>
    <w:rsid w:val="00147F97"/>
    <w:rsid w:val="00150A45"/>
    <w:rsid w:val="001510FC"/>
    <w:rsid w:val="0015151C"/>
    <w:rsid w:val="00153AA1"/>
    <w:rsid w:val="0015449E"/>
    <w:rsid w:val="00154BFA"/>
    <w:rsid w:val="00154EBE"/>
    <w:rsid w:val="001557E0"/>
    <w:rsid w:val="00155DB5"/>
    <w:rsid w:val="001568AF"/>
    <w:rsid w:val="001603D2"/>
    <w:rsid w:val="00163398"/>
    <w:rsid w:val="00164A16"/>
    <w:rsid w:val="00167108"/>
    <w:rsid w:val="00167DD2"/>
    <w:rsid w:val="00167F0D"/>
    <w:rsid w:val="00170592"/>
    <w:rsid w:val="00171A07"/>
    <w:rsid w:val="0017364E"/>
    <w:rsid w:val="001737E1"/>
    <w:rsid w:val="001743E7"/>
    <w:rsid w:val="00175227"/>
    <w:rsid w:val="001757DE"/>
    <w:rsid w:val="0017585B"/>
    <w:rsid w:val="00176376"/>
    <w:rsid w:val="00182E4D"/>
    <w:rsid w:val="00182F0F"/>
    <w:rsid w:val="0018399F"/>
    <w:rsid w:val="00183E35"/>
    <w:rsid w:val="00183EAF"/>
    <w:rsid w:val="0018765D"/>
    <w:rsid w:val="00187B4A"/>
    <w:rsid w:val="0019081C"/>
    <w:rsid w:val="00192123"/>
    <w:rsid w:val="00192208"/>
    <w:rsid w:val="001925ED"/>
    <w:rsid w:val="00192C94"/>
    <w:rsid w:val="00196415"/>
    <w:rsid w:val="0019650F"/>
    <w:rsid w:val="00196A60"/>
    <w:rsid w:val="00197E14"/>
    <w:rsid w:val="001A0703"/>
    <w:rsid w:val="001A22B2"/>
    <w:rsid w:val="001A2ABD"/>
    <w:rsid w:val="001A2D7A"/>
    <w:rsid w:val="001A2F4C"/>
    <w:rsid w:val="001A32DE"/>
    <w:rsid w:val="001A35F9"/>
    <w:rsid w:val="001A40C2"/>
    <w:rsid w:val="001A4FA3"/>
    <w:rsid w:val="001A65D1"/>
    <w:rsid w:val="001A6A26"/>
    <w:rsid w:val="001A6DDB"/>
    <w:rsid w:val="001A7832"/>
    <w:rsid w:val="001B056A"/>
    <w:rsid w:val="001B189A"/>
    <w:rsid w:val="001B2114"/>
    <w:rsid w:val="001B2894"/>
    <w:rsid w:val="001B36F8"/>
    <w:rsid w:val="001B3BB7"/>
    <w:rsid w:val="001B425F"/>
    <w:rsid w:val="001B5955"/>
    <w:rsid w:val="001B6ADD"/>
    <w:rsid w:val="001B6C24"/>
    <w:rsid w:val="001C0517"/>
    <w:rsid w:val="001C132D"/>
    <w:rsid w:val="001C3618"/>
    <w:rsid w:val="001C362F"/>
    <w:rsid w:val="001C39F7"/>
    <w:rsid w:val="001C5DAD"/>
    <w:rsid w:val="001C7831"/>
    <w:rsid w:val="001D0780"/>
    <w:rsid w:val="001D09BE"/>
    <w:rsid w:val="001D19B7"/>
    <w:rsid w:val="001D2200"/>
    <w:rsid w:val="001D2D57"/>
    <w:rsid w:val="001D38EC"/>
    <w:rsid w:val="001D3BA3"/>
    <w:rsid w:val="001D4664"/>
    <w:rsid w:val="001D5024"/>
    <w:rsid w:val="001D6057"/>
    <w:rsid w:val="001D6F78"/>
    <w:rsid w:val="001D78C4"/>
    <w:rsid w:val="001E0019"/>
    <w:rsid w:val="001E0713"/>
    <w:rsid w:val="001E2933"/>
    <w:rsid w:val="001E6576"/>
    <w:rsid w:val="001E6723"/>
    <w:rsid w:val="001E6736"/>
    <w:rsid w:val="001E78C2"/>
    <w:rsid w:val="001E7BEA"/>
    <w:rsid w:val="001E7E17"/>
    <w:rsid w:val="001F2906"/>
    <w:rsid w:val="001F3657"/>
    <w:rsid w:val="001F4708"/>
    <w:rsid w:val="001F6AF0"/>
    <w:rsid w:val="001F7F19"/>
    <w:rsid w:val="00200BF7"/>
    <w:rsid w:val="0020159C"/>
    <w:rsid w:val="00202689"/>
    <w:rsid w:val="002045ED"/>
    <w:rsid w:val="00204B97"/>
    <w:rsid w:val="00204C55"/>
    <w:rsid w:val="00205655"/>
    <w:rsid w:val="0020565E"/>
    <w:rsid w:val="00205E2D"/>
    <w:rsid w:val="0020701B"/>
    <w:rsid w:val="002073FC"/>
    <w:rsid w:val="0020749E"/>
    <w:rsid w:val="002079AE"/>
    <w:rsid w:val="00210AFF"/>
    <w:rsid w:val="00210DF3"/>
    <w:rsid w:val="00212C04"/>
    <w:rsid w:val="002130AC"/>
    <w:rsid w:val="00213301"/>
    <w:rsid w:val="002137AC"/>
    <w:rsid w:val="002146C2"/>
    <w:rsid w:val="00217EBC"/>
    <w:rsid w:val="00220540"/>
    <w:rsid w:val="00220754"/>
    <w:rsid w:val="00222AD1"/>
    <w:rsid w:val="00222B20"/>
    <w:rsid w:val="00222B37"/>
    <w:rsid w:val="0022482A"/>
    <w:rsid w:val="00226A97"/>
    <w:rsid w:val="0022764E"/>
    <w:rsid w:val="002321BF"/>
    <w:rsid w:val="00232CD0"/>
    <w:rsid w:val="00232EA7"/>
    <w:rsid w:val="00233045"/>
    <w:rsid w:val="00233908"/>
    <w:rsid w:val="00233B6A"/>
    <w:rsid w:val="00234EE2"/>
    <w:rsid w:val="002355C5"/>
    <w:rsid w:val="0023589E"/>
    <w:rsid w:val="00236204"/>
    <w:rsid w:val="00236637"/>
    <w:rsid w:val="00236CF8"/>
    <w:rsid w:val="00237FEE"/>
    <w:rsid w:val="00240186"/>
    <w:rsid w:val="00240BDD"/>
    <w:rsid w:val="002418F9"/>
    <w:rsid w:val="00241D75"/>
    <w:rsid w:val="00242D24"/>
    <w:rsid w:val="00242F21"/>
    <w:rsid w:val="0024395D"/>
    <w:rsid w:val="00245F4F"/>
    <w:rsid w:val="00246225"/>
    <w:rsid w:val="002462A1"/>
    <w:rsid w:val="002475B7"/>
    <w:rsid w:val="00247C8C"/>
    <w:rsid w:val="002527A2"/>
    <w:rsid w:val="00252DA3"/>
    <w:rsid w:val="00254625"/>
    <w:rsid w:val="002548A8"/>
    <w:rsid w:val="00254D8D"/>
    <w:rsid w:val="002552CC"/>
    <w:rsid w:val="00255B04"/>
    <w:rsid w:val="00257CE5"/>
    <w:rsid w:val="0026368C"/>
    <w:rsid w:val="0026391D"/>
    <w:rsid w:val="00265EC1"/>
    <w:rsid w:val="002670CD"/>
    <w:rsid w:val="00271DC9"/>
    <w:rsid w:val="00272792"/>
    <w:rsid w:val="00272AE3"/>
    <w:rsid w:val="00272B19"/>
    <w:rsid w:val="0027430D"/>
    <w:rsid w:val="00276463"/>
    <w:rsid w:val="0027657A"/>
    <w:rsid w:val="0027657F"/>
    <w:rsid w:val="0027701A"/>
    <w:rsid w:val="00277339"/>
    <w:rsid w:val="00280461"/>
    <w:rsid w:val="002815B5"/>
    <w:rsid w:val="00283088"/>
    <w:rsid w:val="002830BD"/>
    <w:rsid w:val="00283FD1"/>
    <w:rsid w:val="00284249"/>
    <w:rsid w:val="00285030"/>
    <w:rsid w:val="002854D1"/>
    <w:rsid w:val="002859CE"/>
    <w:rsid w:val="00290F79"/>
    <w:rsid w:val="00291543"/>
    <w:rsid w:val="002924AE"/>
    <w:rsid w:val="00292F7A"/>
    <w:rsid w:val="0029375F"/>
    <w:rsid w:val="00293774"/>
    <w:rsid w:val="002942C8"/>
    <w:rsid w:val="0029478F"/>
    <w:rsid w:val="00295154"/>
    <w:rsid w:val="002958B5"/>
    <w:rsid w:val="002960DC"/>
    <w:rsid w:val="00296147"/>
    <w:rsid w:val="002964C3"/>
    <w:rsid w:val="00296795"/>
    <w:rsid w:val="00296F95"/>
    <w:rsid w:val="002973B9"/>
    <w:rsid w:val="0029765A"/>
    <w:rsid w:val="00297EEC"/>
    <w:rsid w:val="00297F77"/>
    <w:rsid w:val="002A040E"/>
    <w:rsid w:val="002A065C"/>
    <w:rsid w:val="002A1E35"/>
    <w:rsid w:val="002A2804"/>
    <w:rsid w:val="002A3E68"/>
    <w:rsid w:val="002A4724"/>
    <w:rsid w:val="002A48C8"/>
    <w:rsid w:val="002A5385"/>
    <w:rsid w:val="002A61D3"/>
    <w:rsid w:val="002A734C"/>
    <w:rsid w:val="002A78B3"/>
    <w:rsid w:val="002B0574"/>
    <w:rsid w:val="002B0692"/>
    <w:rsid w:val="002B0CEF"/>
    <w:rsid w:val="002B19C6"/>
    <w:rsid w:val="002B2153"/>
    <w:rsid w:val="002B3149"/>
    <w:rsid w:val="002B56AB"/>
    <w:rsid w:val="002B58E7"/>
    <w:rsid w:val="002B777F"/>
    <w:rsid w:val="002C289C"/>
    <w:rsid w:val="002C2D0A"/>
    <w:rsid w:val="002C56B4"/>
    <w:rsid w:val="002C7594"/>
    <w:rsid w:val="002D02C8"/>
    <w:rsid w:val="002D11A0"/>
    <w:rsid w:val="002D28BA"/>
    <w:rsid w:val="002D2AB0"/>
    <w:rsid w:val="002D2B0B"/>
    <w:rsid w:val="002D2F13"/>
    <w:rsid w:val="002D3C16"/>
    <w:rsid w:val="002D4DE6"/>
    <w:rsid w:val="002D53EE"/>
    <w:rsid w:val="002D59C8"/>
    <w:rsid w:val="002D59F1"/>
    <w:rsid w:val="002D6741"/>
    <w:rsid w:val="002D7203"/>
    <w:rsid w:val="002D73C3"/>
    <w:rsid w:val="002D7F7C"/>
    <w:rsid w:val="002E0123"/>
    <w:rsid w:val="002E0EAB"/>
    <w:rsid w:val="002E2AC0"/>
    <w:rsid w:val="002E387D"/>
    <w:rsid w:val="002E3A72"/>
    <w:rsid w:val="002E3FEC"/>
    <w:rsid w:val="002E4F8F"/>
    <w:rsid w:val="002E50AD"/>
    <w:rsid w:val="002E51B8"/>
    <w:rsid w:val="002E7BA5"/>
    <w:rsid w:val="002F0D6C"/>
    <w:rsid w:val="002F10B5"/>
    <w:rsid w:val="002F2B28"/>
    <w:rsid w:val="002F34E2"/>
    <w:rsid w:val="002F368B"/>
    <w:rsid w:val="002F52A4"/>
    <w:rsid w:val="002F6D5F"/>
    <w:rsid w:val="002F75CD"/>
    <w:rsid w:val="00300782"/>
    <w:rsid w:val="00302527"/>
    <w:rsid w:val="00304A1D"/>
    <w:rsid w:val="00304CFE"/>
    <w:rsid w:val="00304E66"/>
    <w:rsid w:val="003050AF"/>
    <w:rsid w:val="003066A2"/>
    <w:rsid w:val="00306F06"/>
    <w:rsid w:val="00307B60"/>
    <w:rsid w:val="00310544"/>
    <w:rsid w:val="00310D7F"/>
    <w:rsid w:val="003135DD"/>
    <w:rsid w:val="00313D1D"/>
    <w:rsid w:val="00316302"/>
    <w:rsid w:val="00316B3E"/>
    <w:rsid w:val="00316D05"/>
    <w:rsid w:val="00320A31"/>
    <w:rsid w:val="00320EDE"/>
    <w:rsid w:val="00321946"/>
    <w:rsid w:val="00321DAB"/>
    <w:rsid w:val="00321E97"/>
    <w:rsid w:val="003225A9"/>
    <w:rsid w:val="00322A08"/>
    <w:rsid w:val="00324610"/>
    <w:rsid w:val="00324943"/>
    <w:rsid w:val="00324DB8"/>
    <w:rsid w:val="003264E5"/>
    <w:rsid w:val="00327703"/>
    <w:rsid w:val="003324BE"/>
    <w:rsid w:val="00332F61"/>
    <w:rsid w:val="00332FCC"/>
    <w:rsid w:val="0033332F"/>
    <w:rsid w:val="00334522"/>
    <w:rsid w:val="00335F72"/>
    <w:rsid w:val="003376ED"/>
    <w:rsid w:val="00340386"/>
    <w:rsid w:val="003407FE"/>
    <w:rsid w:val="003425AD"/>
    <w:rsid w:val="00342D0B"/>
    <w:rsid w:val="00342F6E"/>
    <w:rsid w:val="003435B0"/>
    <w:rsid w:val="00343A50"/>
    <w:rsid w:val="00344BA0"/>
    <w:rsid w:val="003451A4"/>
    <w:rsid w:val="00346918"/>
    <w:rsid w:val="003471D5"/>
    <w:rsid w:val="00347D85"/>
    <w:rsid w:val="00350441"/>
    <w:rsid w:val="00350D11"/>
    <w:rsid w:val="00351725"/>
    <w:rsid w:val="00351C31"/>
    <w:rsid w:val="0035271F"/>
    <w:rsid w:val="0035306D"/>
    <w:rsid w:val="003536E0"/>
    <w:rsid w:val="003541CB"/>
    <w:rsid w:val="003541F5"/>
    <w:rsid w:val="00354B6D"/>
    <w:rsid w:val="00354EC3"/>
    <w:rsid w:val="0035719C"/>
    <w:rsid w:val="0035753D"/>
    <w:rsid w:val="00357C8A"/>
    <w:rsid w:val="0036014C"/>
    <w:rsid w:val="00360D01"/>
    <w:rsid w:val="00361979"/>
    <w:rsid w:val="00362483"/>
    <w:rsid w:val="0036265C"/>
    <w:rsid w:val="003626BF"/>
    <w:rsid w:val="00363D08"/>
    <w:rsid w:val="00363E6D"/>
    <w:rsid w:val="00364591"/>
    <w:rsid w:val="00364E30"/>
    <w:rsid w:val="00365DA5"/>
    <w:rsid w:val="0036615A"/>
    <w:rsid w:val="00366325"/>
    <w:rsid w:val="00366E2B"/>
    <w:rsid w:val="00370A07"/>
    <w:rsid w:val="00371EAC"/>
    <w:rsid w:val="00372970"/>
    <w:rsid w:val="00372D2E"/>
    <w:rsid w:val="00374697"/>
    <w:rsid w:val="003753E6"/>
    <w:rsid w:val="0037635D"/>
    <w:rsid w:val="00377B17"/>
    <w:rsid w:val="00380091"/>
    <w:rsid w:val="00380126"/>
    <w:rsid w:val="00381640"/>
    <w:rsid w:val="00382A2D"/>
    <w:rsid w:val="003838D4"/>
    <w:rsid w:val="00384307"/>
    <w:rsid w:val="003851E8"/>
    <w:rsid w:val="0038582F"/>
    <w:rsid w:val="00385A8E"/>
    <w:rsid w:val="00385AEF"/>
    <w:rsid w:val="00386E17"/>
    <w:rsid w:val="0038796C"/>
    <w:rsid w:val="00387E3C"/>
    <w:rsid w:val="00391183"/>
    <w:rsid w:val="0039165F"/>
    <w:rsid w:val="003919A8"/>
    <w:rsid w:val="00391C36"/>
    <w:rsid w:val="003951C2"/>
    <w:rsid w:val="00396AF1"/>
    <w:rsid w:val="00397A5E"/>
    <w:rsid w:val="003A1734"/>
    <w:rsid w:val="003A178B"/>
    <w:rsid w:val="003A17C3"/>
    <w:rsid w:val="003A2C0E"/>
    <w:rsid w:val="003A355C"/>
    <w:rsid w:val="003A4B4E"/>
    <w:rsid w:val="003A4E2A"/>
    <w:rsid w:val="003A60DB"/>
    <w:rsid w:val="003A6191"/>
    <w:rsid w:val="003A6D62"/>
    <w:rsid w:val="003A788A"/>
    <w:rsid w:val="003A78F8"/>
    <w:rsid w:val="003B1471"/>
    <w:rsid w:val="003B1E74"/>
    <w:rsid w:val="003B2D75"/>
    <w:rsid w:val="003B3872"/>
    <w:rsid w:val="003B434F"/>
    <w:rsid w:val="003B4A31"/>
    <w:rsid w:val="003B4EB3"/>
    <w:rsid w:val="003B64D8"/>
    <w:rsid w:val="003B6592"/>
    <w:rsid w:val="003B6C0B"/>
    <w:rsid w:val="003C039A"/>
    <w:rsid w:val="003C0469"/>
    <w:rsid w:val="003C05A3"/>
    <w:rsid w:val="003C1306"/>
    <w:rsid w:val="003C210B"/>
    <w:rsid w:val="003C334E"/>
    <w:rsid w:val="003C46AA"/>
    <w:rsid w:val="003C5C05"/>
    <w:rsid w:val="003C6A63"/>
    <w:rsid w:val="003C7592"/>
    <w:rsid w:val="003D0F73"/>
    <w:rsid w:val="003D171C"/>
    <w:rsid w:val="003D1893"/>
    <w:rsid w:val="003D1CE4"/>
    <w:rsid w:val="003D379E"/>
    <w:rsid w:val="003D3CCE"/>
    <w:rsid w:val="003D3D50"/>
    <w:rsid w:val="003D40B3"/>
    <w:rsid w:val="003D40F2"/>
    <w:rsid w:val="003D44E6"/>
    <w:rsid w:val="003D4AE2"/>
    <w:rsid w:val="003D573D"/>
    <w:rsid w:val="003D57E1"/>
    <w:rsid w:val="003D6414"/>
    <w:rsid w:val="003D6699"/>
    <w:rsid w:val="003D6BFD"/>
    <w:rsid w:val="003D6F7A"/>
    <w:rsid w:val="003D7436"/>
    <w:rsid w:val="003E057E"/>
    <w:rsid w:val="003E0E26"/>
    <w:rsid w:val="003E12A2"/>
    <w:rsid w:val="003E12B0"/>
    <w:rsid w:val="003E1E97"/>
    <w:rsid w:val="003E2081"/>
    <w:rsid w:val="003E2789"/>
    <w:rsid w:val="003E36F0"/>
    <w:rsid w:val="003E446B"/>
    <w:rsid w:val="003E514A"/>
    <w:rsid w:val="003E56B6"/>
    <w:rsid w:val="003E57E5"/>
    <w:rsid w:val="003E6055"/>
    <w:rsid w:val="003E7140"/>
    <w:rsid w:val="003E7C96"/>
    <w:rsid w:val="003F02D5"/>
    <w:rsid w:val="003F175F"/>
    <w:rsid w:val="003F22B6"/>
    <w:rsid w:val="003F280D"/>
    <w:rsid w:val="003F4418"/>
    <w:rsid w:val="003F4773"/>
    <w:rsid w:val="003F5CD1"/>
    <w:rsid w:val="003F633D"/>
    <w:rsid w:val="003F73F9"/>
    <w:rsid w:val="00400163"/>
    <w:rsid w:val="00401123"/>
    <w:rsid w:val="004022E0"/>
    <w:rsid w:val="00404AAD"/>
    <w:rsid w:val="0040534E"/>
    <w:rsid w:val="00405931"/>
    <w:rsid w:val="00405C18"/>
    <w:rsid w:val="004101FA"/>
    <w:rsid w:val="00410541"/>
    <w:rsid w:val="004111E6"/>
    <w:rsid w:val="00412963"/>
    <w:rsid w:val="00412A91"/>
    <w:rsid w:val="00412F59"/>
    <w:rsid w:val="0041561F"/>
    <w:rsid w:val="00415695"/>
    <w:rsid w:val="00415C52"/>
    <w:rsid w:val="00415C69"/>
    <w:rsid w:val="00417CED"/>
    <w:rsid w:val="00422035"/>
    <w:rsid w:val="00422060"/>
    <w:rsid w:val="00422B52"/>
    <w:rsid w:val="00423309"/>
    <w:rsid w:val="00426D8C"/>
    <w:rsid w:val="00431471"/>
    <w:rsid w:val="004315B1"/>
    <w:rsid w:val="00431D37"/>
    <w:rsid w:val="00431EDB"/>
    <w:rsid w:val="00432502"/>
    <w:rsid w:val="00432B91"/>
    <w:rsid w:val="00432C57"/>
    <w:rsid w:val="0043466B"/>
    <w:rsid w:val="00436177"/>
    <w:rsid w:val="0043764E"/>
    <w:rsid w:val="00437A27"/>
    <w:rsid w:val="00437FE6"/>
    <w:rsid w:val="00440109"/>
    <w:rsid w:val="00440157"/>
    <w:rsid w:val="00440CDA"/>
    <w:rsid w:val="004412BB"/>
    <w:rsid w:val="004413D8"/>
    <w:rsid w:val="0044140F"/>
    <w:rsid w:val="00442064"/>
    <w:rsid w:val="004426F6"/>
    <w:rsid w:val="0044281E"/>
    <w:rsid w:val="00442988"/>
    <w:rsid w:val="00442C4B"/>
    <w:rsid w:val="00443B57"/>
    <w:rsid w:val="004451DB"/>
    <w:rsid w:val="00445BE5"/>
    <w:rsid w:val="00445C09"/>
    <w:rsid w:val="00447BE4"/>
    <w:rsid w:val="004503DF"/>
    <w:rsid w:val="00450BB8"/>
    <w:rsid w:val="004526F7"/>
    <w:rsid w:val="004532D4"/>
    <w:rsid w:val="004547A8"/>
    <w:rsid w:val="0045488F"/>
    <w:rsid w:val="00454987"/>
    <w:rsid w:val="0045568A"/>
    <w:rsid w:val="00455AD2"/>
    <w:rsid w:val="00455E9D"/>
    <w:rsid w:val="00456B80"/>
    <w:rsid w:val="00457279"/>
    <w:rsid w:val="00457521"/>
    <w:rsid w:val="004600E3"/>
    <w:rsid w:val="00462698"/>
    <w:rsid w:val="00462E1B"/>
    <w:rsid w:val="004635C0"/>
    <w:rsid w:val="00464559"/>
    <w:rsid w:val="004649CE"/>
    <w:rsid w:val="004665EE"/>
    <w:rsid w:val="0046750E"/>
    <w:rsid w:val="00470136"/>
    <w:rsid w:val="004702DB"/>
    <w:rsid w:val="0047067D"/>
    <w:rsid w:val="004710D2"/>
    <w:rsid w:val="00471E4B"/>
    <w:rsid w:val="00472D6D"/>
    <w:rsid w:val="004736F7"/>
    <w:rsid w:val="004738C6"/>
    <w:rsid w:val="0047563A"/>
    <w:rsid w:val="00476033"/>
    <w:rsid w:val="004801DE"/>
    <w:rsid w:val="0048150A"/>
    <w:rsid w:val="00481D46"/>
    <w:rsid w:val="004826C5"/>
    <w:rsid w:val="00482908"/>
    <w:rsid w:val="00483A57"/>
    <w:rsid w:val="00483CB3"/>
    <w:rsid w:val="00484092"/>
    <w:rsid w:val="004841D3"/>
    <w:rsid w:val="00485D0C"/>
    <w:rsid w:val="004863DB"/>
    <w:rsid w:val="00487379"/>
    <w:rsid w:val="004876CF"/>
    <w:rsid w:val="004907F0"/>
    <w:rsid w:val="00490BBE"/>
    <w:rsid w:val="0049118D"/>
    <w:rsid w:val="004912B1"/>
    <w:rsid w:val="0049149F"/>
    <w:rsid w:val="0049175B"/>
    <w:rsid w:val="004924F8"/>
    <w:rsid w:val="00492CD2"/>
    <w:rsid w:val="00492F41"/>
    <w:rsid w:val="00493CB2"/>
    <w:rsid w:val="0049720A"/>
    <w:rsid w:val="004A0131"/>
    <w:rsid w:val="004A1749"/>
    <w:rsid w:val="004A19D9"/>
    <w:rsid w:val="004A2D28"/>
    <w:rsid w:val="004A34F2"/>
    <w:rsid w:val="004A5B9F"/>
    <w:rsid w:val="004A5C9A"/>
    <w:rsid w:val="004A5F21"/>
    <w:rsid w:val="004A6396"/>
    <w:rsid w:val="004A7926"/>
    <w:rsid w:val="004B0754"/>
    <w:rsid w:val="004B1552"/>
    <w:rsid w:val="004B2859"/>
    <w:rsid w:val="004B2ED3"/>
    <w:rsid w:val="004B315A"/>
    <w:rsid w:val="004B5D2A"/>
    <w:rsid w:val="004B675F"/>
    <w:rsid w:val="004B6CA7"/>
    <w:rsid w:val="004B7D35"/>
    <w:rsid w:val="004C0A10"/>
    <w:rsid w:val="004C2560"/>
    <w:rsid w:val="004C3795"/>
    <w:rsid w:val="004C6473"/>
    <w:rsid w:val="004C6C14"/>
    <w:rsid w:val="004D20C7"/>
    <w:rsid w:val="004D2CAD"/>
    <w:rsid w:val="004D33FC"/>
    <w:rsid w:val="004D41FD"/>
    <w:rsid w:val="004D450E"/>
    <w:rsid w:val="004D628C"/>
    <w:rsid w:val="004E2A4E"/>
    <w:rsid w:val="004E2B62"/>
    <w:rsid w:val="004E49B4"/>
    <w:rsid w:val="004E4B9E"/>
    <w:rsid w:val="004E5742"/>
    <w:rsid w:val="004E580A"/>
    <w:rsid w:val="004E6471"/>
    <w:rsid w:val="004E7103"/>
    <w:rsid w:val="004E7B88"/>
    <w:rsid w:val="004F32DC"/>
    <w:rsid w:val="004F38D8"/>
    <w:rsid w:val="004F3A8C"/>
    <w:rsid w:val="004F5360"/>
    <w:rsid w:val="004F5B19"/>
    <w:rsid w:val="004F5B8E"/>
    <w:rsid w:val="004F5CFE"/>
    <w:rsid w:val="004F730A"/>
    <w:rsid w:val="004F75F7"/>
    <w:rsid w:val="004F77D8"/>
    <w:rsid w:val="0050011A"/>
    <w:rsid w:val="00501753"/>
    <w:rsid w:val="0050386B"/>
    <w:rsid w:val="00503CEA"/>
    <w:rsid w:val="00503F3C"/>
    <w:rsid w:val="005043CE"/>
    <w:rsid w:val="005052E9"/>
    <w:rsid w:val="00505446"/>
    <w:rsid w:val="00507402"/>
    <w:rsid w:val="005074B1"/>
    <w:rsid w:val="005107E2"/>
    <w:rsid w:val="00512567"/>
    <w:rsid w:val="00513461"/>
    <w:rsid w:val="0051506A"/>
    <w:rsid w:val="0051644C"/>
    <w:rsid w:val="00516907"/>
    <w:rsid w:val="005172D4"/>
    <w:rsid w:val="0051730B"/>
    <w:rsid w:val="005175AD"/>
    <w:rsid w:val="0051763F"/>
    <w:rsid w:val="00517F07"/>
    <w:rsid w:val="00520380"/>
    <w:rsid w:val="00520A1A"/>
    <w:rsid w:val="00520D78"/>
    <w:rsid w:val="005215C9"/>
    <w:rsid w:val="005222DF"/>
    <w:rsid w:val="0052250C"/>
    <w:rsid w:val="0052441A"/>
    <w:rsid w:val="00524970"/>
    <w:rsid w:val="00525040"/>
    <w:rsid w:val="00525670"/>
    <w:rsid w:val="00525FEA"/>
    <w:rsid w:val="00526184"/>
    <w:rsid w:val="005266D9"/>
    <w:rsid w:val="0053032E"/>
    <w:rsid w:val="00530770"/>
    <w:rsid w:val="0053080E"/>
    <w:rsid w:val="00531C47"/>
    <w:rsid w:val="00532094"/>
    <w:rsid w:val="00533867"/>
    <w:rsid w:val="005341A0"/>
    <w:rsid w:val="00534DAB"/>
    <w:rsid w:val="00535BAA"/>
    <w:rsid w:val="00537F5E"/>
    <w:rsid w:val="00541322"/>
    <w:rsid w:val="00541B62"/>
    <w:rsid w:val="00541FA2"/>
    <w:rsid w:val="00544B95"/>
    <w:rsid w:val="00544E1A"/>
    <w:rsid w:val="005463F8"/>
    <w:rsid w:val="005474DE"/>
    <w:rsid w:val="00547916"/>
    <w:rsid w:val="00550D62"/>
    <w:rsid w:val="005512B2"/>
    <w:rsid w:val="00551D1D"/>
    <w:rsid w:val="00552CC2"/>
    <w:rsid w:val="00552E55"/>
    <w:rsid w:val="00552E9E"/>
    <w:rsid w:val="00553F3C"/>
    <w:rsid w:val="0055518B"/>
    <w:rsid w:val="00555969"/>
    <w:rsid w:val="00556DD8"/>
    <w:rsid w:val="00557043"/>
    <w:rsid w:val="005608CD"/>
    <w:rsid w:val="00561F3F"/>
    <w:rsid w:val="00565A2F"/>
    <w:rsid w:val="005661B8"/>
    <w:rsid w:val="00566639"/>
    <w:rsid w:val="005669C4"/>
    <w:rsid w:val="00567C02"/>
    <w:rsid w:val="005761D8"/>
    <w:rsid w:val="00576FFA"/>
    <w:rsid w:val="00577553"/>
    <w:rsid w:val="00577AC0"/>
    <w:rsid w:val="00577BD8"/>
    <w:rsid w:val="00577E87"/>
    <w:rsid w:val="00580071"/>
    <w:rsid w:val="00582247"/>
    <w:rsid w:val="0058366C"/>
    <w:rsid w:val="00584B8D"/>
    <w:rsid w:val="00585820"/>
    <w:rsid w:val="00585CB9"/>
    <w:rsid w:val="00585CF6"/>
    <w:rsid w:val="005860D6"/>
    <w:rsid w:val="00586730"/>
    <w:rsid w:val="00586EB6"/>
    <w:rsid w:val="00586F48"/>
    <w:rsid w:val="005875DF"/>
    <w:rsid w:val="0058797F"/>
    <w:rsid w:val="005922CA"/>
    <w:rsid w:val="0059336E"/>
    <w:rsid w:val="00593AF8"/>
    <w:rsid w:val="00595DAE"/>
    <w:rsid w:val="00595EAA"/>
    <w:rsid w:val="0059628B"/>
    <w:rsid w:val="005975F2"/>
    <w:rsid w:val="005A0075"/>
    <w:rsid w:val="005A0492"/>
    <w:rsid w:val="005A0EAC"/>
    <w:rsid w:val="005A288F"/>
    <w:rsid w:val="005A4DD4"/>
    <w:rsid w:val="005A6034"/>
    <w:rsid w:val="005A7F20"/>
    <w:rsid w:val="005B1215"/>
    <w:rsid w:val="005B19C5"/>
    <w:rsid w:val="005B1ED7"/>
    <w:rsid w:val="005B2026"/>
    <w:rsid w:val="005B5291"/>
    <w:rsid w:val="005B5643"/>
    <w:rsid w:val="005B6A95"/>
    <w:rsid w:val="005B741C"/>
    <w:rsid w:val="005B774A"/>
    <w:rsid w:val="005C045B"/>
    <w:rsid w:val="005C1A8F"/>
    <w:rsid w:val="005C1BFE"/>
    <w:rsid w:val="005C239F"/>
    <w:rsid w:val="005C281E"/>
    <w:rsid w:val="005C2C5F"/>
    <w:rsid w:val="005C4857"/>
    <w:rsid w:val="005C5356"/>
    <w:rsid w:val="005C56FB"/>
    <w:rsid w:val="005C5865"/>
    <w:rsid w:val="005C671C"/>
    <w:rsid w:val="005C7C32"/>
    <w:rsid w:val="005D0265"/>
    <w:rsid w:val="005D0702"/>
    <w:rsid w:val="005D0B94"/>
    <w:rsid w:val="005D11B6"/>
    <w:rsid w:val="005D49C0"/>
    <w:rsid w:val="005D5727"/>
    <w:rsid w:val="005D5D4A"/>
    <w:rsid w:val="005D7015"/>
    <w:rsid w:val="005D7285"/>
    <w:rsid w:val="005E1A9C"/>
    <w:rsid w:val="005E2E08"/>
    <w:rsid w:val="005E39A5"/>
    <w:rsid w:val="005E3FCA"/>
    <w:rsid w:val="005E420A"/>
    <w:rsid w:val="005E4651"/>
    <w:rsid w:val="005E4B33"/>
    <w:rsid w:val="005E5BE0"/>
    <w:rsid w:val="005E5F45"/>
    <w:rsid w:val="005E615F"/>
    <w:rsid w:val="005E62F9"/>
    <w:rsid w:val="005F032E"/>
    <w:rsid w:val="005F0444"/>
    <w:rsid w:val="005F14E2"/>
    <w:rsid w:val="005F1DBF"/>
    <w:rsid w:val="005F3147"/>
    <w:rsid w:val="005F398B"/>
    <w:rsid w:val="005F427F"/>
    <w:rsid w:val="005F6BBB"/>
    <w:rsid w:val="005F6D6E"/>
    <w:rsid w:val="005F6FE4"/>
    <w:rsid w:val="00600BF5"/>
    <w:rsid w:val="00602F13"/>
    <w:rsid w:val="006035DA"/>
    <w:rsid w:val="0060395E"/>
    <w:rsid w:val="00605C4B"/>
    <w:rsid w:val="006068F4"/>
    <w:rsid w:val="00610A82"/>
    <w:rsid w:val="006112DE"/>
    <w:rsid w:val="00611617"/>
    <w:rsid w:val="0061290B"/>
    <w:rsid w:val="0061295B"/>
    <w:rsid w:val="0061329C"/>
    <w:rsid w:val="00613930"/>
    <w:rsid w:val="0061492B"/>
    <w:rsid w:val="00615178"/>
    <w:rsid w:val="006151E0"/>
    <w:rsid w:val="00616658"/>
    <w:rsid w:val="00616913"/>
    <w:rsid w:val="006172DF"/>
    <w:rsid w:val="006208F9"/>
    <w:rsid w:val="0062245F"/>
    <w:rsid w:val="00623641"/>
    <w:rsid w:val="00623B3E"/>
    <w:rsid w:val="00624CE2"/>
    <w:rsid w:val="006260E7"/>
    <w:rsid w:val="0062656E"/>
    <w:rsid w:val="00626A64"/>
    <w:rsid w:val="00630152"/>
    <w:rsid w:val="00631416"/>
    <w:rsid w:val="00631DC1"/>
    <w:rsid w:val="006327C7"/>
    <w:rsid w:val="00632E7E"/>
    <w:rsid w:val="0063385A"/>
    <w:rsid w:val="00634182"/>
    <w:rsid w:val="00634895"/>
    <w:rsid w:val="006349A3"/>
    <w:rsid w:val="006356E5"/>
    <w:rsid w:val="00636A3A"/>
    <w:rsid w:val="00637147"/>
    <w:rsid w:val="00637676"/>
    <w:rsid w:val="0063789C"/>
    <w:rsid w:val="00637DC8"/>
    <w:rsid w:val="0064186E"/>
    <w:rsid w:val="006418B0"/>
    <w:rsid w:val="006419F3"/>
    <w:rsid w:val="00643FEF"/>
    <w:rsid w:val="0064518C"/>
    <w:rsid w:val="0064520B"/>
    <w:rsid w:val="006458DE"/>
    <w:rsid w:val="00646E28"/>
    <w:rsid w:val="00646FEA"/>
    <w:rsid w:val="006474F7"/>
    <w:rsid w:val="006503B7"/>
    <w:rsid w:val="006511E5"/>
    <w:rsid w:val="006513B5"/>
    <w:rsid w:val="0065147A"/>
    <w:rsid w:val="00653002"/>
    <w:rsid w:val="00653054"/>
    <w:rsid w:val="00653736"/>
    <w:rsid w:val="0065395F"/>
    <w:rsid w:val="006540F1"/>
    <w:rsid w:val="00654A07"/>
    <w:rsid w:val="0065590D"/>
    <w:rsid w:val="00655C85"/>
    <w:rsid w:val="00655CB6"/>
    <w:rsid w:val="006568EA"/>
    <w:rsid w:val="0065717A"/>
    <w:rsid w:val="00660506"/>
    <w:rsid w:val="006618F6"/>
    <w:rsid w:val="00661C71"/>
    <w:rsid w:val="00665765"/>
    <w:rsid w:val="006663E3"/>
    <w:rsid w:val="00666489"/>
    <w:rsid w:val="00666F7D"/>
    <w:rsid w:val="00667319"/>
    <w:rsid w:val="00670366"/>
    <w:rsid w:val="00670689"/>
    <w:rsid w:val="006718F5"/>
    <w:rsid w:val="006725C9"/>
    <w:rsid w:val="00672B17"/>
    <w:rsid w:val="00672E9F"/>
    <w:rsid w:val="00672EA2"/>
    <w:rsid w:val="00672FA0"/>
    <w:rsid w:val="00673790"/>
    <w:rsid w:val="00674397"/>
    <w:rsid w:val="006751AF"/>
    <w:rsid w:val="006757A3"/>
    <w:rsid w:val="00675CAE"/>
    <w:rsid w:val="006764C4"/>
    <w:rsid w:val="0067673B"/>
    <w:rsid w:val="00676EA8"/>
    <w:rsid w:val="0068211A"/>
    <w:rsid w:val="00682EC0"/>
    <w:rsid w:val="00683E8B"/>
    <w:rsid w:val="00685264"/>
    <w:rsid w:val="00687058"/>
    <w:rsid w:val="00687BED"/>
    <w:rsid w:val="00690519"/>
    <w:rsid w:val="00691913"/>
    <w:rsid w:val="00693377"/>
    <w:rsid w:val="0069486F"/>
    <w:rsid w:val="006969AC"/>
    <w:rsid w:val="0069730A"/>
    <w:rsid w:val="006977AE"/>
    <w:rsid w:val="006A01A9"/>
    <w:rsid w:val="006A02DE"/>
    <w:rsid w:val="006A09E2"/>
    <w:rsid w:val="006A11F9"/>
    <w:rsid w:val="006A308A"/>
    <w:rsid w:val="006A373D"/>
    <w:rsid w:val="006A38B0"/>
    <w:rsid w:val="006A3EAE"/>
    <w:rsid w:val="006A494D"/>
    <w:rsid w:val="006A5A8C"/>
    <w:rsid w:val="006A778A"/>
    <w:rsid w:val="006B0B55"/>
    <w:rsid w:val="006B1E16"/>
    <w:rsid w:val="006B212B"/>
    <w:rsid w:val="006B2F79"/>
    <w:rsid w:val="006B3DF4"/>
    <w:rsid w:val="006B4C2E"/>
    <w:rsid w:val="006B5F05"/>
    <w:rsid w:val="006B6FDB"/>
    <w:rsid w:val="006C07F2"/>
    <w:rsid w:val="006C0C97"/>
    <w:rsid w:val="006C1B48"/>
    <w:rsid w:val="006C23EA"/>
    <w:rsid w:val="006C28D2"/>
    <w:rsid w:val="006C2B01"/>
    <w:rsid w:val="006C3588"/>
    <w:rsid w:val="006C40F6"/>
    <w:rsid w:val="006C57BF"/>
    <w:rsid w:val="006C5E59"/>
    <w:rsid w:val="006C5EA8"/>
    <w:rsid w:val="006C6BFE"/>
    <w:rsid w:val="006C7529"/>
    <w:rsid w:val="006D0BBE"/>
    <w:rsid w:val="006D2D9A"/>
    <w:rsid w:val="006D3B15"/>
    <w:rsid w:val="006D401D"/>
    <w:rsid w:val="006D4B0D"/>
    <w:rsid w:val="006D5780"/>
    <w:rsid w:val="006D5A4B"/>
    <w:rsid w:val="006D61D6"/>
    <w:rsid w:val="006D7EBE"/>
    <w:rsid w:val="006E12B0"/>
    <w:rsid w:val="006E2894"/>
    <w:rsid w:val="006E3179"/>
    <w:rsid w:val="006E41D8"/>
    <w:rsid w:val="006E4938"/>
    <w:rsid w:val="006E5BAB"/>
    <w:rsid w:val="006E72BD"/>
    <w:rsid w:val="006E76EE"/>
    <w:rsid w:val="006E77F8"/>
    <w:rsid w:val="006F24BF"/>
    <w:rsid w:val="006F27CF"/>
    <w:rsid w:val="006F2AD5"/>
    <w:rsid w:val="006F2CEC"/>
    <w:rsid w:val="006F54E4"/>
    <w:rsid w:val="006F637D"/>
    <w:rsid w:val="006F67FE"/>
    <w:rsid w:val="00700C99"/>
    <w:rsid w:val="007013DD"/>
    <w:rsid w:val="00701B43"/>
    <w:rsid w:val="00703965"/>
    <w:rsid w:val="00703C0C"/>
    <w:rsid w:val="00704E85"/>
    <w:rsid w:val="007050E9"/>
    <w:rsid w:val="007061BD"/>
    <w:rsid w:val="00706A2B"/>
    <w:rsid w:val="00710F8E"/>
    <w:rsid w:val="007115A9"/>
    <w:rsid w:val="00711C0C"/>
    <w:rsid w:val="007124D1"/>
    <w:rsid w:val="00714330"/>
    <w:rsid w:val="00715EAD"/>
    <w:rsid w:val="00721CE8"/>
    <w:rsid w:val="007230DA"/>
    <w:rsid w:val="00723333"/>
    <w:rsid w:val="00724B8D"/>
    <w:rsid w:val="00725DC3"/>
    <w:rsid w:val="007261BC"/>
    <w:rsid w:val="00726DE9"/>
    <w:rsid w:val="00727BBF"/>
    <w:rsid w:val="00730AAB"/>
    <w:rsid w:val="00730E6C"/>
    <w:rsid w:val="00731241"/>
    <w:rsid w:val="00732966"/>
    <w:rsid w:val="00732FE9"/>
    <w:rsid w:val="007331A8"/>
    <w:rsid w:val="007340B7"/>
    <w:rsid w:val="007340C5"/>
    <w:rsid w:val="00734AC5"/>
    <w:rsid w:val="00734AEF"/>
    <w:rsid w:val="00734D6E"/>
    <w:rsid w:val="00737349"/>
    <w:rsid w:val="00737B6A"/>
    <w:rsid w:val="00741006"/>
    <w:rsid w:val="00742AE6"/>
    <w:rsid w:val="007430BC"/>
    <w:rsid w:val="00745334"/>
    <w:rsid w:val="00746762"/>
    <w:rsid w:val="00747EF6"/>
    <w:rsid w:val="0075051A"/>
    <w:rsid w:val="0075242B"/>
    <w:rsid w:val="00753D0D"/>
    <w:rsid w:val="00754EC8"/>
    <w:rsid w:val="00754F38"/>
    <w:rsid w:val="00755476"/>
    <w:rsid w:val="00755C16"/>
    <w:rsid w:val="00755D34"/>
    <w:rsid w:val="007573E7"/>
    <w:rsid w:val="0076068D"/>
    <w:rsid w:val="007614E0"/>
    <w:rsid w:val="0076233A"/>
    <w:rsid w:val="00762868"/>
    <w:rsid w:val="00763321"/>
    <w:rsid w:val="00763EC2"/>
    <w:rsid w:val="0076559D"/>
    <w:rsid w:val="00767666"/>
    <w:rsid w:val="00770103"/>
    <w:rsid w:val="00770D9A"/>
    <w:rsid w:val="00770EA0"/>
    <w:rsid w:val="00770ECE"/>
    <w:rsid w:val="00772B9C"/>
    <w:rsid w:val="007743C9"/>
    <w:rsid w:val="00775335"/>
    <w:rsid w:val="00775C90"/>
    <w:rsid w:val="007763DB"/>
    <w:rsid w:val="00776570"/>
    <w:rsid w:val="00776DB3"/>
    <w:rsid w:val="007774F2"/>
    <w:rsid w:val="00777906"/>
    <w:rsid w:val="00777AE9"/>
    <w:rsid w:val="0078077A"/>
    <w:rsid w:val="0078259C"/>
    <w:rsid w:val="00782A6D"/>
    <w:rsid w:val="00782B8F"/>
    <w:rsid w:val="00782DFF"/>
    <w:rsid w:val="00785E48"/>
    <w:rsid w:val="007861C8"/>
    <w:rsid w:val="0078624E"/>
    <w:rsid w:val="00786265"/>
    <w:rsid w:val="00786740"/>
    <w:rsid w:val="00787AC2"/>
    <w:rsid w:val="00790879"/>
    <w:rsid w:val="007908FB"/>
    <w:rsid w:val="00791BAB"/>
    <w:rsid w:val="00791F38"/>
    <w:rsid w:val="00793938"/>
    <w:rsid w:val="0079473D"/>
    <w:rsid w:val="007969CD"/>
    <w:rsid w:val="00796C40"/>
    <w:rsid w:val="00797CE6"/>
    <w:rsid w:val="007A0BB4"/>
    <w:rsid w:val="007A139C"/>
    <w:rsid w:val="007A2F01"/>
    <w:rsid w:val="007A309B"/>
    <w:rsid w:val="007A3C62"/>
    <w:rsid w:val="007A5BA5"/>
    <w:rsid w:val="007A6266"/>
    <w:rsid w:val="007A6410"/>
    <w:rsid w:val="007A6839"/>
    <w:rsid w:val="007A6F89"/>
    <w:rsid w:val="007A728E"/>
    <w:rsid w:val="007A7344"/>
    <w:rsid w:val="007A737B"/>
    <w:rsid w:val="007B047C"/>
    <w:rsid w:val="007B11BB"/>
    <w:rsid w:val="007B13C2"/>
    <w:rsid w:val="007B14E7"/>
    <w:rsid w:val="007B177A"/>
    <w:rsid w:val="007B3248"/>
    <w:rsid w:val="007B3A79"/>
    <w:rsid w:val="007B4B36"/>
    <w:rsid w:val="007B586C"/>
    <w:rsid w:val="007B6496"/>
    <w:rsid w:val="007B7258"/>
    <w:rsid w:val="007B73CD"/>
    <w:rsid w:val="007B7ABB"/>
    <w:rsid w:val="007C028D"/>
    <w:rsid w:val="007C168E"/>
    <w:rsid w:val="007C379E"/>
    <w:rsid w:val="007C4385"/>
    <w:rsid w:val="007C5C13"/>
    <w:rsid w:val="007C62EA"/>
    <w:rsid w:val="007C644B"/>
    <w:rsid w:val="007C7974"/>
    <w:rsid w:val="007C7A1E"/>
    <w:rsid w:val="007D0A0C"/>
    <w:rsid w:val="007D2A2C"/>
    <w:rsid w:val="007D2A44"/>
    <w:rsid w:val="007D41F2"/>
    <w:rsid w:val="007D465B"/>
    <w:rsid w:val="007D530B"/>
    <w:rsid w:val="007D742A"/>
    <w:rsid w:val="007D7829"/>
    <w:rsid w:val="007E0002"/>
    <w:rsid w:val="007E0420"/>
    <w:rsid w:val="007E0A2C"/>
    <w:rsid w:val="007E0FE1"/>
    <w:rsid w:val="007E312E"/>
    <w:rsid w:val="007E32DB"/>
    <w:rsid w:val="007E3DE1"/>
    <w:rsid w:val="007E4EC0"/>
    <w:rsid w:val="007E60EA"/>
    <w:rsid w:val="007E6310"/>
    <w:rsid w:val="007E639B"/>
    <w:rsid w:val="007E79B3"/>
    <w:rsid w:val="007F1364"/>
    <w:rsid w:val="007F2655"/>
    <w:rsid w:val="007F491F"/>
    <w:rsid w:val="007F5B68"/>
    <w:rsid w:val="007F6670"/>
    <w:rsid w:val="007F69D1"/>
    <w:rsid w:val="007F69E4"/>
    <w:rsid w:val="007F6D0F"/>
    <w:rsid w:val="007F72DD"/>
    <w:rsid w:val="007F78FD"/>
    <w:rsid w:val="00800DED"/>
    <w:rsid w:val="00800FE4"/>
    <w:rsid w:val="00803F86"/>
    <w:rsid w:val="008049A6"/>
    <w:rsid w:val="00804D27"/>
    <w:rsid w:val="00805513"/>
    <w:rsid w:val="008055B2"/>
    <w:rsid w:val="00811AFC"/>
    <w:rsid w:val="00814169"/>
    <w:rsid w:val="00814190"/>
    <w:rsid w:val="008141B8"/>
    <w:rsid w:val="008158CA"/>
    <w:rsid w:val="00820270"/>
    <w:rsid w:val="008202E8"/>
    <w:rsid w:val="00821665"/>
    <w:rsid w:val="008222C4"/>
    <w:rsid w:val="00822FF9"/>
    <w:rsid w:val="008234F3"/>
    <w:rsid w:val="00823633"/>
    <w:rsid w:val="00823A78"/>
    <w:rsid w:val="00826022"/>
    <w:rsid w:val="008267AA"/>
    <w:rsid w:val="00826A14"/>
    <w:rsid w:val="00830BCA"/>
    <w:rsid w:val="00830C22"/>
    <w:rsid w:val="00830FF1"/>
    <w:rsid w:val="00831335"/>
    <w:rsid w:val="0083148D"/>
    <w:rsid w:val="00831D56"/>
    <w:rsid w:val="00832534"/>
    <w:rsid w:val="008334BE"/>
    <w:rsid w:val="00834B57"/>
    <w:rsid w:val="00835DBA"/>
    <w:rsid w:val="008369B3"/>
    <w:rsid w:val="0083713E"/>
    <w:rsid w:val="00837154"/>
    <w:rsid w:val="00840413"/>
    <w:rsid w:val="008405E5"/>
    <w:rsid w:val="00841104"/>
    <w:rsid w:val="008412F2"/>
    <w:rsid w:val="00841B69"/>
    <w:rsid w:val="00842EF8"/>
    <w:rsid w:val="00842FE0"/>
    <w:rsid w:val="0084393C"/>
    <w:rsid w:val="008448A7"/>
    <w:rsid w:val="00847DA4"/>
    <w:rsid w:val="0085129F"/>
    <w:rsid w:val="0085131F"/>
    <w:rsid w:val="008514D5"/>
    <w:rsid w:val="00851676"/>
    <w:rsid w:val="00851EC6"/>
    <w:rsid w:val="0085289C"/>
    <w:rsid w:val="008529D4"/>
    <w:rsid w:val="00852B3F"/>
    <w:rsid w:val="008535F0"/>
    <w:rsid w:val="00853FA5"/>
    <w:rsid w:val="008554ED"/>
    <w:rsid w:val="00856CB3"/>
    <w:rsid w:val="00857CEF"/>
    <w:rsid w:val="008600E4"/>
    <w:rsid w:val="00860114"/>
    <w:rsid w:val="0086060E"/>
    <w:rsid w:val="0086068F"/>
    <w:rsid w:val="008613AB"/>
    <w:rsid w:val="00861458"/>
    <w:rsid w:val="0086199E"/>
    <w:rsid w:val="00862853"/>
    <w:rsid w:val="00864590"/>
    <w:rsid w:val="008647D8"/>
    <w:rsid w:val="00864A82"/>
    <w:rsid w:val="008664F7"/>
    <w:rsid w:val="0086687F"/>
    <w:rsid w:val="008678D2"/>
    <w:rsid w:val="00867D6C"/>
    <w:rsid w:val="00871C72"/>
    <w:rsid w:val="0087202C"/>
    <w:rsid w:val="008726F8"/>
    <w:rsid w:val="008729B9"/>
    <w:rsid w:val="00872ABD"/>
    <w:rsid w:val="00873283"/>
    <w:rsid w:val="008744CB"/>
    <w:rsid w:val="00876AA3"/>
    <w:rsid w:val="008777F0"/>
    <w:rsid w:val="008801CE"/>
    <w:rsid w:val="00880739"/>
    <w:rsid w:val="00880DEB"/>
    <w:rsid w:val="008812D1"/>
    <w:rsid w:val="0088266C"/>
    <w:rsid w:val="00882C85"/>
    <w:rsid w:val="00883428"/>
    <w:rsid w:val="00885584"/>
    <w:rsid w:val="00885E61"/>
    <w:rsid w:val="00886001"/>
    <w:rsid w:val="008865FE"/>
    <w:rsid w:val="0088676B"/>
    <w:rsid w:val="00887EBE"/>
    <w:rsid w:val="00890AFE"/>
    <w:rsid w:val="00891A73"/>
    <w:rsid w:val="008928FC"/>
    <w:rsid w:val="00892A7C"/>
    <w:rsid w:val="00893078"/>
    <w:rsid w:val="00893181"/>
    <w:rsid w:val="00893617"/>
    <w:rsid w:val="00895232"/>
    <w:rsid w:val="008964AF"/>
    <w:rsid w:val="008967EC"/>
    <w:rsid w:val="0089759C"/>
    <w:rsid w:val="008A04D2"/>
    <w:rsid w:val="008A0B70"/>
    <w:rsid w:val="008A0BE7"/>
    <w:rsid w:val="008A0BF8"/>
    <w:rsid w:val="008A32A2"/>
    <w:rsid w:val="008A40FA"/>
    <w:rsid w:val="008A4D84"/>
    <w:rsid w:val="008B0B49"/>
    <w:rsid w:val="008B0E4E"/>
    <w:rsid w:val="008B0ED7"/>
    <w:rsid w:val="008B3648"/>
    <w:rsid w:val="008B3FCC"/>
    <w:rsid w:val="008B410E"/>
    <w:rsid w:val="008B432C"/>
    <w:rsid w:val="008B4441"/>
    <w:rsid w:val="008B582A"/>
    <w:rsid w:val="008B7FF8"/>
    <w:rsid w:val="008C1131"/>
    <w:rsid w:val="008C2681"/>
    <w:rsid w:val="008C26C0"/>
    <w:rsid w:val="008C28E6"/>
    <w:rsid w:val="008C3269"/>
    <w:rsid w:val="008C3502"/>
    <w:rsid w:val="008C3643"/>
    <w:rsid w:val="008C42F7"/>
    <w:rsid w:val="008C44B6"/>
    <w:rsid w:val="008C4D31"/>
    <w:rsid w:val="008C5073"/>
    <w:rsid w:val="008C559F"/>
    <w:rsid w:val="008C58F3"/>
    <w:rsid w:val="008D0C9E"/>
    <w:rsid w:val="008D1CDA"/>
    <w:rsid w:val="008D28C1"/>
    <w:rsid w:val="008D492F"/>
    <w:rsid w:val="008D525C"/>
    <w:rsid w:val="008D52FC"/>
    <w:rsid w:val="008D550A"/>
    <w:rsid w:val="008D5867"/>
    <w:rsid w:val="008D5E92"/>
    <w:rsid w:val="008D6B5E"/>
    <w:rsid w:val="008D74EB"/>
    <w:rsid w:val="008D7E9E"/>
    <w:rsid w:val="008E0300"/>
    <w:rsid w:val="008E1D6D"/>
    <w:rsid w:val="008E21F0"/>
    <w:rsid w:val="008E252C"/>
    <w:rsid w:val="008E2E05"/>
    <w:rsid w:val="008E3697"/>
    <w:rsid w:val="008E6ADA"/>
    <w:rsid w:val="008E7161"/>
    <w:rsid w:val="008E7778"/>
    <w:rsid w:val="008E78AE"/>
    <w:rsid w:val="008F0DFE"/>
    <w:rsid w:val="008F139E"/>
    <w:rsid w:val="008F15FB"/>
    <w:rsid w:val="008F22F4"/>
    <w:rsid w:val="008F392E"/>
    <w:rsid w:val="008F3F66"/>
    <w:rsid w:val="008F4B04"/>
    <w:rsid w:val="008F56E7"/>
    <w:rsid w:val="008F6C74"/>
    <w:rsid w:val="0090070A"/>
    <w:rsid w:val="00900833"/>
    <w:rsid w:val="009022BC"/>
    <w:rsid w:val="0090258A"/>
    <w:rsid w:val="00902F6E"/>
    <w:rsid w:val="00903E1E"/>
    <w:rsid w:val="009045C6"/>
    <w:rsid w:val="00904C5B"/>
    <w:rsid w:val="00906262"/>
    <w:rsid w:val="00907359"/>
    <w:rsid w:val="00907CF0"/>
    <w:rsid w:val="00911F22"/>
    <w:rsid w:val="009131D6"/>
    <w:rsid w:val="00913328"/>
    <w:rsid w:val="009136BF"/>
    <w:rsid w:val="00913E58"/>
    <w:rsid w:val="009149D8"/>
    <w:rsid w:val="00914D46"/>
    <w:rsid w:val="00915310"/>
    <w:rsid w:val="00917385"/>
    <w:rsid w:val="009201B8"/>
    <w:rsid w:val="009205C4"/>
    <w:rsid w:val="00920C1B"/>
    <w:rsid w:val="00921295"/>
    <w:rsid w:val="00921AFB"/>
    <w:rsid w:val="00922F1E"/>
    <w:rsid w:val="00923926"/>
    <w:rsid w:val="0092527D"/>
    <w:rsid w:val="00926492"/>
    <w:rsid w:val="00926D29"/>
    <w:rsid w:val="00926FB2"/>
    <w:rsid w:val="009277EB"/>
    <w:rsid w:val="00927B5F"/>
    <w:rsid w:val="009310CE"/>
    <w:rsid w:val="00931B5B"/>
    <w:rsid w:val="0093253C"/>
    <w:rsid w:val="00932E54"/>
    <w:rsid w:val="00933E43"/>
    <w:rsid w:val="00934441"/>
    <w:rsid w:val="0093577E"/>
    <w:rsid w:val="0093628F"/>
    <w:rsid w:val="00936861"/>
    <w:rsid w:val="00936BD0"/>
    <w:rsid w:val="00937973"/>
    <w:rsid w:val="00940883"/>
    <w:rsid w:val="00940ECA"/>
    <w:rsid w:val="0094180D"/>
    <w:rsid w:val="00941A5E"/>
    <w:rsid w:val="009434C4"/>
    <w:rsid w:val="00943958"/>
    <w:rsid w:val="00943F5B"/>
    <w:rsid w:val="009445DB"/>
    <w:rsid w:val="0094614E"/>
    <w:rsid w:val="00946CEC"/>
    <w:rsid w:val="00950B5D"/>
    <w:rsid w:val="00951E25"/>
    <w:rsid w:val="009521F0"/>
    <w:rsid w:val="009523F9"/>
    <w:rsid w:val="009524D4"/>
    <w:rsid w:val="009526B0"/>
    <w:rsid w:val="00953FB0"/>
    <w:rsid w:val="00956B62"/>
    <w:rsid w:val="00957638"/>
    <w:rsid w:val="009578E5"/>
    <w:rsid w:val="0096027D"/>
    <w:rsid w:val="00960C65"/>
    <w:rsid w:val="00961400"/>
    <w:rsid w:val="0096230E"/>
    <w:rsid w:val="00962A9B"/>
    <w:rsid w:val="00962D1B"/>
    <w:rsid w:val="00962EA7"/>
    <w:rsid w:val="0096394C"/>
    <w:rsid w:val="009657C4"/>
    <w:rsid w:val="0097018F"/>
    <w:rsid w:val="00970337"/>
    <w:rsid w:val="00971858"/>
    <w:rsid w:val="009732AF"/>
    <w:rsid w:val="009733D3"/>
    <w:rsid w:val="009734A9"/>
    <w:rsid w:val="009734DD"/>
    <w:rsid w:val="00973E7F"/>
    <w:rsid w:val="0097554E"/>
    <w:rsid w:val="009763D7"/>
    <w:rsid w:val="00980A10"/>
    <w:rsid w:val="00981F52"/>
    <w:rsid w:val="00981F83"/>
    <w:rsid w:val="009825DB"/>
    <w:rsid w:val="00982BE9"/>
    <w:rsid w:val="00982FF9"/>
    <w:rsid w:val="0098364C"/>
    <w:rsid w:val="00983B6E"/>
    <w:rsid w:val="00983D57"/>
    <w:rsid w:val="00983D9D"/>
    <w:rsid w:val="00983FF2"/>
    <w:rsid w:val="009845D2"/>
    <w:rsid w:val="009857CD"/>
    <w:rsid w:val="00986461"/>
    <w:rsid w:val="0098716B"/>
    <w:rsid w:val="00987FB4"/>
    <w:rsid w:val="00992213"/>
    <w:rsid w:val="009929C1"/>
    <w:rsid w:val="00993BDE"/>
    <w:rsid w:val="00995B14"/>
    <w:rsid w:val="00996A51"/>
    <w:rsid w:val="00996C90"/>
    <w:rsid w:val="00997149"/>
    <w:rsid w:val="009979E0"/>
    <w:rsid w:val="009A019E"/>
    <w:rsid w:val="009A0A17"/>
    <w:rsid w:val="009A209E"/>
    <w:rsid w:val="009A2378"/>
    <w:rsid w:val="009A2B1A"/>
    <w:rsid w:val="009A349F"/>
    <w:rsid w:val="009A4617"/>
    <w:rsid w:val="009A4F52"/>
    <w:rsid w:val="009A4F89"/>
    <w:rsid w:val="009A6511"/>
    <w:rsid w:val="009A67FD"/>
    <w:rsid w:val="009A7FEE"/>
    <w:rsid w:val="009B0357"/>
    <w:rsid w:val="009B07EF"/>
    <w:rsid w:val="009B2D60"/>
    <w:rsid w:val="009B325D"/>
    <w:rsid w:val="009B3E25"/>
    <w:rsid w:val="009B3E69"/>
    <w:rsid w:val="009B414B"/>
    <w:rsid w:val="009B5667"/>
    <w:rsid w:val="009B5BFB"/>
    <w:rsid w:val="009C00D6"/>
    <w:rsid w:val="009C19D6"/>
    <w:rsid w:val="009C2662"/>
    <w:rsid w:val="009C2C60"/>
    <w:rsid w:val="009C2FD0"/>
    <w:rsid w:val="009C67D4"/>
    <w:rsid w:val="009C6CD9"/>
    <w:rsid w:val="009C6FF5"/>
    <w:rsid w:val="009D0389"/>
    <w:rsid w:val="009D09D2"/>
    <w:rsid w:val="009D0B0C"/>
    <w:rsid w:val="009D1209"/>
    <w:rsid w:val="009D2F85"/>
    <w:rsid w:val="009D37AF"/>
    <w:rsid w:val="009D4809"/>
    <w:rsid w:val="009D606C"/>
    <w:rsid w:val="009D66A6"/>
    <w:rsid w:val="009D7C95"/>
    <w:rsid w:val="009E02C2"/>
    <w:rsid w:val="009E10FD"/>
    <w:rsid w:val="009E1379"/>
    <w:rsid w:val="009E152B"/>
    <w:rsid w:val="009E495F"/>
    <w:rsid w:val="009E513D"/>
    <w:rsid w:val="009E5F1D"/>
    <w:rsid w:val="009E6962"/>
    <w:rsid w:val="009E7536"/>
    <w:rsid w:val="009F073A"/>
    <w:rsid w:val="009F1B7D"/>
    <w:rsid w:val="009F24BD"/>
    <w:rsid w:val="009F4C35"/>
    <w:rsid w:val="009F6A75"/>
    <w:rsid w:val="009F6A8E"/>
    <w:rsid w:val="00A02C77"/>
    <w:rsid w:val="00A02E27"/>
    <w:rsid w:val="00A03D5E"/>
    <w:rsid w:val="00A0433A"/>
    <w:rsid w:val="00A04D5A"/>
    <w:rsid w:val="00A05A3D"/>
    <w:rsid w:val="00A05B0A"/>
    <w:rsid w:val="00A0600B"/>
    <w:rsid w:val="00A0692A"/>
    <w:rsid w:val="00A106DD"/>
    <w:rsid w:val="00A1278B"/>
    <w:rsid w:val="00A12806"/>
    <w:rsid w:val="00A128FE"/>
    <w:rsid w:val="00A13148"/>
    <w:rsid w:val="00A138E9"/>
    <w:rsid w:val="00A157D8"/>
    <w:rsid w:val="00A16AC7"/>
    <w:rsid w:val="00A17EBA"/>
    <w:rsid w:val="00A20251"/>
    <w:rsid w:val="00A20270"/>
    <w:rsid w:val="00A20E0F"/>
    <w:rsid w:val="00A21C03"/>
    <w:rsid w:val="00A22C24"/>
    <w:rsid w:val="00A237F8"/>
    <w:rsid w:val="00A24BBC"/>
    <w:rsid w:val="00A24CEB"/>
    <w:rsid w:val="00A26240"/>
    <w:rsid w:val="00A27B38"/>
    <w:rsid w:val="00A30160"/>
    <w:rsid w:val="00A30342"/>
    <w:rsid w:val="00A30BBA"/>
    <w:rsid w:val="00A30C67"/>
    <w:rsid w:val="00A30E56"/>
    <w:rsid w:val="00A31D14"/>
    <w:rsid w:val="00A327E6"/>
    <w:rsid w:val="00A35B1B"/>
    <w:rsid w:val="00A3672B"/>
    <w:rsid w:val="00A36FED"/>
    <w:rsid w:val="00A3722E"/>
    <w:rsid w:val="00A37E4F"/>
    <w:rsid w:val="00A40BB5"/>
    <w:rsid w:val="00A41A1A"/>
    <w:rsid w:val="00A41A5E"/>
    <w:rsid w:val="00A4229B"/>
    <w:rsid w:val="00A42A43"/>
    <w:rsid w:val="00A438DE"/>
    <w:rsid w:val="00A4448C"/>
    <w:rsid w:val="00A44ED6"/>
    <w:rsid w:val="00A44F79"/>
    <w:rsid w:val="00A45151"/>
    <w:rsid w:val="00A45F12"/>
    <w:rsid w:val="00A46B74"/>
    <w:rsid w:val="00A46B9C"/>
    <w:rsid w:val="00A47FDB"/>
    <w:rsid w:val="00A500C6"/>
    <w:rsid w:val="00A503EC"/>
    <w:rsid w:val="00A51357"/>
    <w:rsid w:val="00A53EDF"/>
    <w:rsid w:val="00A54B90"/>
    <w:rsid w:val="00A5555C"/>
    <w:rsid w:val="00A56E88"/>
    <w:rsid w:val="00A56F5C"/>
    <w:rsid w:val="00A5732F"/>
    <w:rsid w:val="00A60563"/>
    <w:rsid w:val="00A62C62"/>
    <w:rsid w:val="00A62DDD"/>
    <w:rsid w:val="00A657DC"/>
    <w:rsid w:val="00A65BD8"/>
    <w:rsid w:val="00A65BDD"/>
    <w:rsid w:val="00A669C8"/>
    <w:rsid w:val="00A718F9"/>
    <w:rsid w:val="00A72D88"/>
    <w:rsid w:val="00A75244"/>
    <w:rsid w:val="00A764EE"/>
    <w:rsid w:val="00A77C6F"/>
    <w:rsid w:val="00A80379"/>
    <w:rsid w:val="00A80868"/>
    <w:rsid w:val="00A825BB"/>
    <w:rsid w:val="00A83BE1"/>
    <w:rsid w:val="00A83CEA"/>
    <w:rsid w:val="00A83D94"/>
    <w:rsid w:val="00A84014"/>
    <w:rsid w:val="00A8409F"/>
    <w:rsid w:val="00A85286"/>
    <w:rsid w:val="00A85825"/>
    <w:rsid w:val="00A87396"/>
    <w:rsid w:val="00A87F2E"/>
    <w:rsid w:val="00A901B2"/>
    <w:rsid w:val="00A903FD"/>
    <w:rsid w:val="00A90DB4"/>
    <w:rsid w:val="00A90FED"/>
    <w:rsid w:val="00A9124F"/>
    <w:rsid w:val="00A912DE"/>
    <w:rsid w:val="00A91686"/>
    <w:rsid w:val="00A937BD"/>
    <w:rsid w:val="00A93B51"/>
    <w:rsid w:val="00A9557C"/>
    <w:rsid w:val="00A95C24"/>
    <w:rsid w:val="00A95DBC"/>
    <w:rsid w:val="00A96745"/>
    <w:rsid w:val="00A967F6"/>
    <w:rsid w:val="00A9697F"/>
    <w:rsid w:val="00A96B23"/>
    <w:rsid w:val="00A97176"/>
    <w:rsid w:val="00AA1FE2"/>
    <w:rsid w:val="00AA2081"/>
    <w:rsid w:val="00AA2A14"/>
    <w:rsid w:val="00AA4DB1"/>
    <w:rsid w:val="00AA533F"/>
    <w:rsid w:val="00AA574F"/>
    <w:rsid w:val="00AA5A0B"/>
    <w:rsid w:val="00AA6C13"/>
    <w:rsid w:val="00AA7146"/>
    <w:rsid w:val="00AA7F69"/>
    <w:rsid w:val="00AA7FE0"/>
    <w:rsid w:val="00AB019C"/>
    <w:rsid w:val="00AB0FD0"/>
    <w:rsid w:val="00AB1791"/>
    <w:rsid w:val="00AB1952"/>
    <w:rsid w:val="00AB1F3A"/>
    <w:rsid w:val="00AB2B3F"/>
    <w:rsid w:val="00AB3316"/>
    <w:rsid w:val="00AB385B"/>
    <w:rsid w:val="00AB3F38"/>
    <w:rsid w:val="00AB4512"/>
    <w:rsid w:val="00AB478F"/>
    <w:rsid w:val="00AB51FD"/>
    <w:rsid w:val="00AB5F54"/>
    <w:rsid w:val="00AB73F7"/>
    <w:rsid w:val="00AC0791"/>
    <w:rsid w:val="00AC0B0A"/>
    <w:rsid w:val="00AC15EF"/>
    <w:rsid w:val="00AC274B"/>
    <w:rsid w:val="00AC3F34"/>
    <w:rsid w:val="00AC42DD"/>
    <w:rsid w:val="00AC4FCF"/>
    <w:rsid w:val="00AC5619"/>
    <w:rsid w:val="00AC6A0D"/>
    <w:rsid w:val="00AC75B2"/>
    <w:rsid w:val="00AC7A0E"/>
    <w:rsid w:val="00AD0B5B"/>
    <w:rsid w:val="00AD19F5"/>
    <w:rsid w:val="00AD1ED0"/>
    <w:rsid w:val="00AD2A3C"/>
    <w:rsid w:val="00AD4576"/>
    <w:rsid w:val="00AD470A"/>
    <w:rsid w:val="00AD578B"/>
    <w:rsid w:val="00AD5960"/>
    <w:rsid w:val="00AD61AB"/>
    <w:rsid w:val="00AD649D"/>
    <w:rsid w:val="00AD6DE2"/>
    <w:rsid w:val="00AD7326"/>
    <w:rsid w:val="00AE047C"/>
    <w:rsid w:val="00AE12DB"/>
    <w:rsid w:val="00AE136C"/>
    <w:rsid w:val="00AE32FA"/>
    <w:rsid w:val="00AE3D77"/>
    <w:rsid w:val="00AE4A53"/>
    <w:rsid w:val="00AE4B6A"/>
    <w:rsid w:val="00AE4D6E"/>
    <w:rsid w:val="00AE500A"/>
    <w:rsid w:val="00AE5147"/>
    <w:rsid w:val="00AE5EC1"/>
    <w:rsid w:val="00AE6157"/>
    <w:rsid w:val="00AE62B1"/>
    <w:rsid w:val="00AE66E5"/>
    <w:rsid w:val="00AE67D7"/>
    <w:rsid w:val="00AE72DA"/>
    <w:rsid w:val="00AE772D"/>
    <w:rsid w:val="00AE7FE4"/>
    <w:rsid w:val="00AF07F0"/>
    <w:rsid w:val="00AF12D2"/>
    <w:rsid w:val="00AF1B76"/>
    <w:rsid w:val="00AF3040"/>
    <w:rsid w:val="00AF32AE"/>
    <w:rsid w:val="00AF3A1F"/>
    <w:rsid w:val="00AF49BD"/>
    <w:rsid w:val="00AF67A9"/>
    <w:rsid w:val="00AF7D23"/>
    <w:rsid w:val="00B009DF"/>
    <w:rsid w:val="00B02005"/>
    <w:rsid w:val="00B03162"/>
    <w:rsid w:val="00B0332D"/>
    <w:rsid w:val="00B03469"/>
    <w:rsid w:val="00B050B9"/>
    <w:rsid w:val="00B054A1"/>
    <w:rsid w:val="00B054A5"/>
    <w:rsid w:val="00B05E33"/>
    <w:rsid w:val="00B10442"/>
    <w:rsid w:val="00B1076F"/>
    <w:rsid w:val="00B11604"/>
    <w:rsid w:val="00B11DC7"/>
    <w:rsid w:val="00B1214C"/>
    <w:rsid w:val="00B12ECA"/>
    <w:rsid w:val="00B12F4F"/>
    <w:rsid w:val="00B14C57"/>
    <w:rsid w:val="00B15F0F"/>
    <w:rsid w:val="00B166AB"/>
    <w:rsid w:val="00B172FF"/>
    <w:rsid w:val="00B173D4"/>
    <w:rsid w:val="00B17827"/>
    <w:rsid w:val="00B20A99"/>
    <w:rsid w:val="00B20AAC"/>
    <w:rsid w:val="00B2402D"/>
    <w:rsid w:val="00B2514E"/>
    <w:rsid w:val="00B257EB"/>
    <w:rsid w:val="00B26874"/>
    <w:rsid w:val="00B26E1C"/>
    <w:rsid w:val="00B278E8"/>
    <w:rsid w:val="00B27F3D"/>
    <w:rsid w:val="00B34900"/>
    <w:rsid w:val="00B357C0"/>
    <w:rsid w:val="00B35F77"/>
    <w:rsid w:val="00B36827"/>
    <w:rsid w:val="00B36B49"/>
    <w:rsid w:val="00B37ED2"/>
    <w:rsid w:val="00B40644"/>
    <w:rsid w:val="00B4168A"/>
    <w:rsid w:val="00B42634"/>
    <w:rsid w:val="00B4291D"/>
    <w:rsid w:val="00B429E6"/>
    <w:rsid w:val="00B4300C"/>
    <w:rsid w:val="00B430EA"/>
    <w:rsid w:val="00B4372A"/>
    <w:rsid w:val="00B4467A"/>
    <w:rsid w:val="00B45CC9"/>
    <w:rsid w:val="00B46A2E"/>
    <w:rsid w:val="00B46EE2"/>
    <w:rsid w:val="00B46FC3"/>
    <w:rsid w:val="00B47FF6"/>
    <w:rsid w:val="00B50C7F"/>
    <w:rsid w:val="00B51BF9"/>
    <w:rsid w:val="00B53151"/>
    <w:rsid w:val="00B541A9"/>
    <w:rsid w:val="00B55513"/>
    <w:rsid w:val="00B55915"/>
    <w:rsid w:val="00B560E6"/>
    <w:rsid w:val="00B57E04"/>
    <w:rsid w:val="00B600BC"/>
    <w:rsid w:val="00B60C48"/>
    <w:rsid w:val="00B6105B"/>
    <w:rsid w:val="00B613B1"/>
    <w:rsid w:val="00B61D75"/>
    <w:rsid w:val="00B623AD"/>
    <w:rsid w:val="00B62DBC"/>
    <w:rsid w:val="00B6343C"/>
    <w:rsid w:val="00B6394D"/>
    <w:rsid w:val="00B6472E"/>
    <w:rsid w:val="00B659EE"/>
    <w:rsid w:val="00B65B6F"/>
    <w:rsid w:val="00B661D7"/>
    <w:rsid w:val="00B6659F"/>
    <w:rsid w:val="00B676A7"/>
    <w:rsid w:val="00B67712"/>
    <w:rsid w:val="00B67788"/>
    <w:rsid w:val="00B67BCB"/>
    <w:rsid w:val="00B67CC5"/>
    <w:rsid w:val="00B67D69"/>
    <w:rsid w:val="00B70404"/>
    <w:rsid w:val="00B704B4"/>
    <w:rsid w:val="00B70A2D"/>
    <w:rsid w:val="00B71200"/>
    <w:rsid w:val="00B71D04"/>
    <w:rsid w:val="00B72457"/>
    <w:rsid w:val="00B73148"/>
    <w:rsid w:val="00B75F19"/>
    <w:rsid w:val="00B76231"/>
    <w:rsid w:val="00B76BA0"/>
    <w:rsid w:val="00B76F40"/>
    <w:rsid w:val="00B77906"/>
    <w:rsid w:val="00B8090A"/>
    <w:rsid w:val="00B816B4"/>
    <w:rsid w:val="00B816D2"/>
    <w:rsid w:val="00B81E4E"/>
    <w:rsid w:val="00B82540"/>
    <w:rsid w:val="00B82A51"/>
    <w:rsid w:val="00B82A9C"/>
    <w:rsid w:val="00B82B70"/>
    <w:rsid w:val="00B8362C"/>
    <w:rsid w:val="00B84843"/>
    <w:rsid w:val="00B84FC3"/>
    <w:rsid w:val="00B851BD"/>
    <w:rsid w:val="00B8550D"/>
    <w:rsid w:val="00B863C6"/>
    <w:rsid w:val="00B8692B"/>
    <w:rsid w:val="00B869A3"/>
    <w:rsid w:val="00B873CC"/>
    <w:rsid w:val="00B877CF"/>
    <w:rsid w:val="00B91606"/>
    <w:rsid w:val="00B91674"/>
    <w:rsid w:val="00B91E3D"/>
    <w:rsid w:val="00B9327D"/>
    <w:rsid w:val="00B93D53"/>
    <w:rsid w:val="00B946DD"/>
    <w:rsid w:val="00B946F8"/>
    <w:rsid w:val="00B959FC"/>
    <w:rsid w:val="00B960E9"/>
    <w:rsid w:val="00B96BD0"/>
    <w:rsid w:val="00B96D30"/>
    <w:rsid w:val="00B979E0"/>
    <w:rsid w:val="00B97F74"/>
    <w:rsid w:val="00BA0B7E"/>
    <w:rsid w:val="00BA1C1A"/>
    <w:rsid w:val="00BA2D12"/>
    <w:rsid w:val="00BA46AE"/>
    <w:rsid w:val="00BA5E1A"/>
    <w:rsid w:val="00BA7B58"/>
    <w:rsid w:val="00BA7C6B"/>
    <w:rsid w:val="00BB0487"/>
    <w:rsid w:val="00BB087F"/>
    <w:rsid w:val="00BB152F"/>
    <w:rsid w:val="00BB225D"/>
    <w:rsid w:val="00BB2621"/>
    <w:rsid w:val="00BB45FB"/>
    <w:rsid w:val="00BB54E7"/>
    <w:rsid w:val="00BB6291"/>
    <w:rsid w:val="00BB686C"/>
    <w:rsid w:val="00BB6F37"/>
    <w:rsid w:val="00BC0414"/>
    <w:rsid w:val="00BC0839"/>
    <w:rsid w:val="00BC113F"/>
    <w:rsid w:val="00BC29E1"/>
    <w:rsid w:val="00BC42A4"/>
    <w:rsid w:val="00BC49FC"/>
    <w:rsid w:val="00BC4BF2"/>
    <w:rsid w:val="00BC539F"/>
    <w:rsid w:val="00BC6C3F"/>
    <w:rsid w:val="00BC70E7"/>
    <w:rsid w:val="00BC77A5"/>
    <w:rsid w:val="00BD0E75"/>
    <w:rsid w:val="00BD22B4"/>
    <w:rsid w:val="00BD22DC"/>
    <w:rsid w:val="00BD2310"/>
    <w:rsid w:val="00BD274E"/>
    <w:rsid w:val="00BD2C7C"/>
    <w:rsid w:val="00BD3430"/>
    <w:rsid w:val="00BD3DC4"/>
    <w:rsid w:val="00BD3F9E"/>
    <w:rsid w:val="00BD48D8"/>
    <w:rsid w:val="00BD53D8"/>
    <w:rsid w:val="00BD5CF7"/>
    <w:rsid w:val="00BD5E82"/>
    <w:rsid w:val="00BD6AFC"/>
    <w:rsid w:val="00BD7491"/>
    <w:rsid w:val="00BD768F"/>
    <w:rsid w:val="00BE1713"/>
    <w:rsid w:val="00BE1F47"/>
    <w:rsid w:val="00BE243B"/>
    <w:rsid w:val="00BE270B"/>
    <w:rsid w:val="00BE31A7"/>
    <w:rsid w:val="00BE3238"/>
    <w:rsid w:val="00BE34A5"/>
    <w:rsid w:val="00BE3AB8"/>
    <w:rsid w:val="00BE3D7A"/>
    <w:rsid w:val="00BE5146"/>
    <w:rsid w:val="00BE5725"/>
    <w:rsid w:val="00BE6FE1"/>
    <w:rsid w:val="00BF0533"/>
    <w:rsid w:val="00BF1761"/>
    <w:rsid w:val="00BF1BE1"/>
    <w:rsid w:val="00BF25A1"/>
    <w:rsid w:val="00BF2C8D"/>
    <w:rsid w:val="00BF3C05"/>
    <w:rsid w:val="00BF4AB1"/>
    <w:rsid w:val="00BF5AE5"/>
    <w:rsid w:val="00BF6B78"/>
    <w:rsid w:val="00BF6C29"/>
    <w:rsid w:val="00BF735A"/>
    <w:rsid w:val="00C01899"/>
    <w:rsid w:val="00C0327A"/>
    <w:rsid w:val="00C06CA3"/>
    <w:rsid w:val="00C07E65"/>
    <w:rsid w:val="00C1230E"/>
    <w:rsid w:val="00C131D8"/>
    <w:rsid w:val="00C141B8"/>
    <w:rsid w:val="00C2105B"/>
    <w:rsid w:val="00C23C17"/>
    <w:rsid w:val="00C23E65"/>
    <w:rsid w:val="00C24CAB"/>
    <w:rsid w:val="00C24E7D"/>
    <w:rsid w:val="00C25295"/>
    <w:rsid w:val="00C25AE7"/>
    <w:rsid w:val="00C263AB"/>
    <w:rsid w:val="00C2730E"/>
    <w:rsid w:val="00C31E53"/>
    <w:rsid w:val="00C325F1"/>
    <w:rsid w:val="00C328B0"/>
    <w:rsid w:val="00C32B7D"/>
    <w:rsid w:val="00C3441F"/>
    <w:rsid w:val="00C35F59"/>
    <w:rsid w:val="00C36AFE"/>
    <w:rsid w:val="00C36BF1"/>
    <w:rsid w:val="00C370E5"/>
    <w:rsid w:val="00C37BB2"/>
    <w:rsid w:val="00C4002E"/>
    <w:rsid w:val="00C406CA"/>
    <w:rsid w:val="00C4224E"/>
    <w:rsid w:val="00C42339"/>
    <w:rsid w:val="00C45391"/>
    <w:rsid w:val="00C45908"/>
    <w:rsid w:val="00C46EC3"/>
    <w:rsid w:val="00C47D79"/>
    <w:rsid w:val="00C501CC"/>
    <w:rsid w:val="00C50A77"/>
    <w:rsid w:val="00C51027"/>
    <w:rsid w:val="00C512FF"/>
    <w:rsid w:val="00C531F5"/>
    <w:rsid w:val="00C53361"/>
    <w:rsid w:val="00C550EA"/>
    <w:rsid w:val="00C556BF"/>
    <w:rsid w:val="00C55763"/>
    <w:rsid w:val="00C5620E"/>
    <w:rsid w:val="00C605DE"/>
    <w:rsid w:val="00C6091B"/>
    <w:rsid w:val="00C6167C"/>
    <w:rsid w:val="00C631B3"/>
    <w:rsid w:val="00C632D6"/>
    <w:rsid w:val="00C64014"/>
    <w:rsid w:val="00C64FCA"/>
    <w:rsid w:val="00C64FFD"/>
    <w:rsid w:val="00C65122"/>
    <w:rsid w:val="00C65974"/>
    <w:rsid w:val="00C65E59"/>
    <w:rsid w:val="00C66FF9"/>
    <w:rsid w:val="00C67C51"/>
    <w:rsid w:val="00C67E6F"/>
    <w:rsid w:val="00C70262"/>
    <w:rsid w:val="00C7062B"/>
    <w:rsid w:val="00C712F8"/>
    <w:rsid w:val="00C72402"/>
    <w:rsid w:val="00C72FFA"/>
    <w:rsid w:val="00C73B98"/>
    <w:rsid w:val="00C73EDF"/>
    <w:rsid w:val="00C74082"/>
    <w:rsid w:val="00C741C8"/>
    <w:rsid w:val="00C7486E"/>
    <w:rsid w:val="00C74B7A"/>
    <w:rsid w:val="00C7515A"/>
    <w:rsid w:val="00C7530C"/>
    <w:rsid w:val="00C7604F"/>
    <w:rsid w:val="00C77825"/>
    <w:rsid w:val="00C8048A"/>
    <w:rsid w:val="00C80A60"/>
    <w:rsid w:val="00C80ACC"/>
    <w:rsid w:val="00C80F00"/>
    <w:rsid w:val="00C82453"/>
    <w:rsid w:val="00C849F1"/>
    <w:rsid w:val="00C854F8"/>
    <w:rsid w:val="00C86C3A"/>
    <w:rsid w:val="00C86C60"/>
    <w:rsid w:val="00C929F6"/>
    <w:rsid w:val="00C93B20"/>
    <w:rsid w:val="00C94DFD"/>
    <w:rsid w:val="00C9514C"/>
    <w:rsid w:val="00C95610"/>
    <w:rsid w:val="00C95722"/>
    <w:rsid w:val="00C9578A"/>
    <w:rsid w:val="00C973DB"/>
    <w:rsid w:val="00C97FC3"/>
    <w:rsid w:val="00CA17D3"/>
    <w:rsid w:val="00CA19F5"/>
    <w:rsid w:val="00CA2592"/>
    <w:rsid w:val="00CA2594"/>
    <w:rsid w:val="00CA2DFB"/>
    <w:rsid w:val="00CA3031"/>
    <w:rsid w:val="00CA56C5"/>
    <w:rsid w:val="00CA585D"/>
    <w:rsid w:val="00CA6031"/>
    <w:rsid w:val="00CA6609"/>
    <w:rsid w:val="00CA6BB2"/>
    <w:rsid w:val="00CA74B7"/>
    <w:rsid w:val="00CA7D8A"/>
    <w:rsid w:val="00CA7DE3"/>
    <w:rsid w:val="00CA7FF3"/>
    <w:rsid w:val="00CB179C"/>
    <w:rsid w:val="00CB1A70"/>
    <w:rsid w:val="00CB2B6F"/>
    <w:rsid w:val="00CB2D94"/>
    <w:rsid w:val="00CB530B"/>
    <w:rsid w:val="00CB5742"/>
    <w:rsid w:val="00CB6CFF"/>
    <w:rsid w:val="00CB74A2"/>
    <w:rsid w:val="00CB7DE1"/>
    <w:rsid w:val="00CC0D3F"/>
    <w:rsid w:val="00CC1027"/>
    <w:rsid w:val="00CC22AE"/>
    <w:rsid w:val="00CC4303"/>
    <w:rsid w:val="00CC4A0D"/>
    <w:rsid w:val="00CC4FDC"/>
    <w:rsid w:val="00CC5943"/>
    <w:rsid w:val="00CC68FF"/>
    <w:rsid w:val="00CD0D9A"/>
    <w:rsid w:val="00CD189F"/>
    <w:rsid w:val="00CD2909"/>
    <w:rsid w:val="00CD470C"/>
    <w:rsid w:val="00CD481B"/>
    <w:rsid w:val="00CD64F0"/>
    <w:rsid w:val="00CD7409"/>
    <w:rsid w:val="00CD76EF"/>
    <w:rsid w:val="00CD76F9"/>
    <w:rsid w:val="00CE074A"/>
    <w:rsid w:val="00CE1676"/>
    <w:rsid w:val="00CE38ED"/>
    <w:rsid w:val="00CE3A00"/>
    <w:rsid w:val="00CE4074"/>
    <w:rsid w:val="00CE436C"/>
    <w:rsid w:val="00CE46DD"/>
    <w:rsid w:val="00CE4A03"/>
    <w:rsid w:val="00CE7464"/>
    <w:rsid w:val="00CE7662"/>
    <w:rsid w:val="00CF0368"/>
    <w:rsid w:val="00CF2D99"/>
    <w:rsid w:val="00CF3963"/>
    <w:rsid w:val="00CF3D16"/>
    <w:rsid w:val="00CF3D3A"/>
    <w:rsid w:val="00CF4325"/>
    <w:rsid w:val="00CF4445"/>
    <w:rsid w:val="00CF4C0B"/>
    <w:rsid w:val="00CF5108"/>
    <w:rsid w:val="00CF5408"/>
    <w:rsid w:val="00CF5E92"/>
    <w:rsid w:val="00CF605E"/>
    <w:rsid w:val="00CF6165"/>
    <w:rsid w:val="00CF6EB3"/>
    <w:rsid w:val="00CF6F85"/>
    <w:rsid w:val="00CF7598"/>
    <w:rsid w:val="00CF7605"/>
    <w:rsid w:val="00CF79A5"/>
    <w:rsid w:val="00D01F07"/>
    <w:rsid w:val="00D04169"/>
    <w:rsid w:val="00D047AC"/>
    <w:rsid w:val="00D04A54"/>
    <w:rsid w:val="00D04E35"/>
    <w:rsid w:val="00D10EC8"/>
    <w:rsid w:val="00D12EE1"/>
    <w:rsid w:val="00D1655D"/>
    <w:rsid w:val="00D2141D"/>
    <w:rsid w:val="00D21510"/>
    <w:rsid w:val="00D21D62"/>
    <w:rsid w:val="00D2265F"/>
    <w:rsid w:val="00D22802"/>
    <w:rsid w:val="00D23A66"/>
    <w:rsid w:val="00D25AF5"/>
    <w:rsid w:val="00D26FB0"/>
    <w:rsid w:val="00D27485"/>
    <w:rsid w:val="00D2772A"/>
    <w:rsid w:val="00D27D87"/>
    <w:rsid w:val="00D30499"/>
    <w:rsid w:val="00D309C3"/>
    <w:rsid w:val="00D30AAE"/>
    <w:rsid w:val="00D3185B"/>
    <w:rsid w:val="00D32603"/>
    <w:rsid w:val="00D32772"/>
    <w:rsid w:val="00D347D3"/>
    <w:rsid w:val="00D348DD"/>
    <w:rsid w:val="00D360C8"/>
    <w:rsid w:val="00D37CF4"/>
    <w:rsid w:val="00D37E44"/>
    <w:rsid w:val="00D40D98"/>
    <w:rsid w:val="00D41F2B"/>
    <w:rsid w:val="00D424F6"/>
    <w:rsid w:val="00D43168"/>
    <w:rsid w:val="00D44776"/>
    <w:rsid w:val="00D44EF6"/>
    <w:rsid w:val="00D45926"/>
    <w:rsid w:val="00D46A18"/>
    <w:rsid w:val="00D4725B"/>
    <w:rsid w:val="00D47D29"/>
    <w:rsid w:val="00D50714"/>
    <w:rsid w:val="00D50F88"/>
    <w:rsid w:val="00D518AF"/>
    <w:rsid w:val="00D5335E"/>
    <w:rsid w:val="00D54536"/>
    <w:rsid w:val="00D55077"/>
    <w:rsid w:val="00D55B1C"/>
    <w:rsid w:val="00D5695F"/>
    <w:rsid w:val="00D6013A"/>
    <w:rsid w:val="00D612B5"/>
    <w:rsid w:val="00D62D2B"/>
    <w:rsid w:val="00D62DA3"/>
    <w:rsid w:val="00D64FDC"/>
    <w:rsid w:val="00D65FAD"/>
    <w:rsid w:val="00D66495"/>
    <w:rsid w:val="00D66522"/>
    <w:rsid w:val="00D66C3C"/>
    <w:rsid w:val="00D677C2"/>
    <w:rsid w:val="00D67AAA"/>
    <w:rsid w:val="00D7134A"/>
    <w:rsid w:val="00D71E1C"/>
    <w:rsid w:val="00D744DD"/>
    <w:rsid w:val="00D74B28"/>
    <w:rsid w:val="00D75D64"/>
    <w:rsid w:val="00D75F9B"/>
    <w:rsid w:val="00D7620B"/>
    <w:rsid w:val="00D77ECC"/>
    <w:rsid w:val="00D80A7C"/>
    <w:rsid w:val="00D829D5"/>
    <w:rsid w:val="00D83308"/>
    <w:rsid w:val="00D84A66"/>
    <w:rsid w:val="00D84DF5"/>
    <w:rsid w:val="00D8522C"/>
    <w:rsid w:val="00D854D1"/>
    <w:rsid w:val="00D855BB"/>
    <w:rsid w:val="00D86782"/>
    <w:rsid w:val="00D870C6"/>
    <w:rsid w:val="00D90F13"/>
    <w:rsid w:val="00D9103A"/>
    <w:rsid w:val="00D91481"/>
    <w:rsid w:val="00D934DA"/>
    <w:rsid w:val="00D93D89"/>
    <w:rsid w:val="00D952D5"/>
    <w:rsid w:val="00D958EB"/>
    <w:rsid w:val="00D969FF"/>
    <w:rsid w:val="00D97ABF"/>
    <w:rsid w:val="00DA0159"/>
    <w:rsid w:val="00DA1F44"/>
    <w:rsid w:val="00DA2E99"/>
    <w:rsid w:val="00DA2EB5"/>
    <w:rsid w:val="00DA4E31"/>
    <w:rsid w:val="00DA5E34"/>
    <w:rsid w:val="00DA77D5"/>
    <w:rsid w:val="00DA7AB9"/>
    <w:rsid w:val="00DA7DED"/>
    <w:rsid w:val="00DA7EC6"/>
    <w:rsid w:val="00DB1F8B"/>
    <w:rsid w:val="00DB28B8"/>
    <w:rsid w:val="00DB2A39"/>
    <w:rsid w:val="00DB2A5A"/>
    <w:rsid w:val="00DB310A"/>
    <w:rsid w:val="00DB36B0"/>
    <w:rsid w:val="00DB3CC4"/>
    <w:rsid w:val="00DB3F75"/>
    <w:rsid w:val="00DB4A1D"/>
    <w:rsid w:val="00DB59F3"/>
    <w:rsid w:val="00DB6C4B"/>
    <w:rsid w:val="00DB72F9"/>
    <w:rsid w:val="00DB789B"/>
    <w:rsid w:val="00DC1A04"/>
    <w:rsid w:val="00DC2F0A"/>
    <w:rsid w:val="00DC4EAF"/>
    <w:rsid w:val="00DC534B"/>
    <w:rsid w:val="00DC65E3"/>
    <w:rsid w:val="00DC6A08"/>
    <w:rsid w:val="00DC733A"/>
    <w:rsid w:val="00DD0989"/>
    <w:rsid w:val="00DD0D27"/>
    <w:rsid w:val="00DD1913"/>
    <w:rsid w:val="00DD212B"/>
    <w:rsid w:val="00DD322C"/>
    <w:rsid w:val="00DE0675"/>
    <w:rsid w:val="00DE0E98"/>
    <w:rsid w:val="00DE3A6B"/>
    <w:rsid w:val="00DE4C71"/>
    <w:rsid w:val="00DE6731"/>
    <w:rsid w:val="00DF0253"/>
    <w:rsid w:val="00DF0686"/>
    <w:rsid w:val="00DF0D3D"/>
    <w:rsid w:val="00DF1B96"/>
    <w:rsid w:val="00DF1F18"/>
    <w:rsid w:val="00DF2F16"/>
    <w:rsid w:val="00DF437C"/>
    <w:rsid w:val="00DF4D44"/>
    <w:rsid w:val="00DF55A0"/>
    <w:rsid w:val="00DF6090"/>
    <w:rsid w:val="00DF67F4"/>
    <w:rsid w:val="00DF6BD2"/>
    <w:rsid w:val="00DF6F95"/>
    <w:rsid w:val="00DF73BD"/>
    <w:rsid w:val="00DF7446"/>
    <w:rsid w:val="00DF7A12"/>
    <w:rsid w:val="00E01333"/>
    <w:rsid w:val="00E03787"/>
    <w:rsid w:val="00E0409B"/>
    <w:rsid w:val="00E048FD"/>
    <w:rsid w:val="00E04EDE"/>
    <w:rsid w:val="00E05434"/>
    <w:rsid w:val="00E05739"/>
    <w:rsid w:val="00E05F92"/>
    <w:rsid w:val="00E064A1"/>
    <w:rsid w:val="00E06796"/>
    <w:rsid w:val="00E071B5"/>
    <w:rsid w:val="00E07D43"/>
    <w:rsid w:val="00E10A66"/>
    <w:rsid w:val="00E12E3B"/>
    <w:rsid w:val="00E13FE5"/>
    <w:rsid w:val="00E146E7"/>
    <w:rsid w:val="00E153FB"/>
    <w:rsid w:val="00E161B6"/>
    <w:rsid w:val="00E162E8"/>
    <w:rsid w:val="00E178C8"/>
    <w:rsid w:val="00E206AB"/>
    <w:rsid w:val="00E21B17"/>
    <w:rsid w:val="00E23FDB"/>
    <w:rsid w:val="00E245C4"/>
    <w:rsid w:val="00E24685"/>
    <w:rsid w:val="00E2636F"/>
    <w:rsid w:val="00E26432"/>
    <w:rsid w:val="00E272FD"/>
    <w:rsid w:val="00E27C96"/>
    <w:rsid w:val="00E3014C"/>
    <w:rsid w:val="00E3036D"/>
    <w:rsid w:val="00E31901"/>
    <w:rsid w:val="00E33030"/>
    <w:rsid w:val="00E345B9"/>
    <w:rsid w:val="00E42F9C"/>
    <w:rsid w:val="00E4323B"/>
    <w:rsid w:val="00E4413C"/>
    <w:rsid w:val="00E508C2"/>
    <w:rsid w:val="00E515E2"/>
    <w:rsid w:val="00E52AE8"/>
    <w:rsid w:val="00E52D34"/>
    <w:rsid w:val="00E546FC"/>
    <w:rsid w:val="00E54ABE"/>
    <w:rsid w:val="00E55556"/>
    <w:rsid w:val="00E55588"/>
    <w:rsid w:val="00E56658"/>
    <w:rsid w:val="00E569B6"/>
    <w:rsid w:val="00E56CBE"/>
    <w:rsid w:val="00E573C7"/>
    <w:rsid w:val="00E57689"/>
    <w:rsid w:val="00E611EB"/>
    <w:rsid w:val="00E62543"/>
    <w:rsid w:val="00E64187"/>
    <w:rsid w:val="00E6458E"/>
    <w:rsid w:val="00E64EC6"/>
    <w:rsid w:val="00E651EA"/>
    <w:rsid w:val="00E66878"/>
    <w:rsid w:val="00E6715F"/>
    <w:rsid w:val="00E676DB"/>
    <w:rsid w:val="00E71C23"/>
    <w:rsid w:val="00E71C70"/>
    <w:rsid w:val="00E72709"/>
    <w:rsid w:val="00E742F4"/>
    <w:rsid w:val="00E76AE1"/>
    <w:rsid w:val="00E77AC9"/>
    <w:rsid w:val="00E77C06"/>
    <w:rsid w:val="00E81A50"/>
    <w:rsid w:val="00E83112"/>
    <w:rsid w:val="00E83EDD"/>
    <w:rsid w:val="00E8400A"/>
    <w:rsid w:val="00E84CFF"/>
    <w:rsid w:val="00E8527A"/>
    <w:rsid w:val="00E8585D"/>
    <w:rsid w:val="00E86079"/>
    <w:rsid w:val="00E869BD"/>
    <w:rsid w:val="00E87A93"/>
    <w:rsid w:val="00E900B4"/>
    <w:rsid w:val="00E909BF"/>
    <w:rsid w:val="00E91CAB"/>
    <w:rsid w:val="00E923E6"/>
    <w:rsid w:val="00E9263B"/>
    <w:rsid w:val="00E93622"/>
    <w:rsid w:val="00E938C9"/>
    <w:rsid w:val="00E94581"/>
    <w:rsid w:val="00E951C1"/>
    <w:rsid w:val="00E976D6"/>
    <w:rsid w:val="00EA0127"/>
    <w:rsid w:val="00EA0164"/>
    <w:rsid w:val="00EA0CAD"/>
    <w:rsid w:val="00EA167E"/>
    <w:rsid w:val="00EA2EDC"/>
    <w:rsid w:val="00EA36F6"/>
    <w:rsid w:val="00EA37AE"/>
    <w:rsid w:val="00EA3E59"/>
    <w:rsid w:val="00EA4538"/>
    <w:rsid w:val="00EA4DDC"/>
    <w:rsid w:val="00EA5231"/>
    <w:rsid w:val="00EA6C1A"/>
    <w:rsid w:val="00EB04B5"/>
    <w:rsid w:val="00EB18C8"/>
    <w:rsid w:val="00EB1F7B"/>
    <w:rsid w:val="00EB4255"/>
    <w:rsid w:val="00EB4F36"/>
    <w:rsid w:val="00EB556A"/>
    <w:rsid w:val="00EB6028"/>
    <w:rsid w:val="00EB68BD"/>
    <w:rsid w:val="00EB7299"/>
    <w:rsid w:val="00EB7687"/>
    <w:rsid w:val="00EC047C"/>
    <w:rsid w:val="00EC1540"/>
    <w:rsid w:val="00EC241F"/>
    <w:rsid w:val="00EC3C77"/>
    <w:rsid w:val="00EC519D"/>
    <w:rsid w:val="00EC5ED0"/>
    <w:rsid w:val="00ED099C"/>
    <w:rsid w:val="00ED1341"/>
    <w:rsid w:val="00ED2EDF"/>
    <w:rsid w:val="00ED466F"/>
    <w:rsid w:val="00ED4678"/>
    <w:rsid w:val="00ED4E73"/>
    <w:rsid w:val="00ED4FE6"/>
    <w:rsid w:val="00ED6A6F"/>
    <w:rsid w:val="00ED7014"/>
    <w:rsid w:val="00EE056B"/>
    <w:rsid w:val="00EE1145"/>
    <w:rsid w:val="00EE2241"/>
    <w:rsid w:val="00EE2CF7"/>
    <w:rsid w:val="00EE4AA9"/>
    <w:rsid w:val="00EE502E"/>
    <w:rsid w:val="00EE6CCE"/>
    <w:rsid w:val="00EE7159"/>
    <w:rsid w:val="00EF0307"/>
    <w:rsid w:val="00EF0C66"/>
    <w:rsid w:val="00EF0F52"/>
    <w:rsid w:val="00EF256A"/>
    <w:rsid w:val="00EF2EBB"/>
    <w:rsid w:val="00EF3D75"/>
    <w:rsid w:val="00EF58C5"/>
    <w:rsid w:val="00EF6C66"/>
    <w:rsid w:val="00EF7A94"/>
    <w:rsid w:val="00F00593"/>
    <w:rsid w:val="00F006E1"/>
    <w:rsid w:val="00F01A55"/>
    <w:rsid w:val="00F027CC"/>
    <w:rsid w:val="00F03692"/>
    <w:rsid w:val="00F04525"/>
    <w:rsid w:val="00F05FD2"/>
    <w:rsid w:val="00F06AC5"/>
    <w:rsid w:val="00F109C5"/>
    <w:rsid w:val="00F11763"/>
    <w:rsid w:val="00F126D5"/>
    <w:rsid w:val="00F12989"/>
    <w:rsid w:val="00F14810"/>
    <w:rsid w:val="00F14A35"/>
    <w:rsid w:val="00F15A01"/>
    <w:rsid w:val="00F15D99"/>
    <w:rsid w:val="00F16F7D"/>
    <w:rsid w:val="00F2058F"/>
    <w:rsid w:val="00F21225"/>
    <w:rsid w:val="00F21FB7"/>
    <w:rsid w:val="00F22AC8"/>
    <w:rsid w:val="00F2328C"/>
    <w:rsid w:val="00F24831"/>
    <w:rsid w:val="00F24928"/>
    <w:rsid w:val="00F2517A"/>
    <w:rsid w:val="00F25901"/>
    <w:rsid w:val="00F26BAB"/>
    <w:rsid w:val="00F273BE"/>
    <w:rsid w:val="00F276CB"/>
    <w:rsid w:val="00F30627"/>
    <w:rsid w:val="00F30C85"/>
    <w:rsid w:val="00F30E86"/>
    <w:rsid w:val="00F3104C"/>
    <w:rsid w:val="00F31729"/>
    <w:rsid w:val="00F32601"/>
    <w:rsid w:val="00F333B4"/>
    <w:rsid w:val="00F34492"/>
    <w:rsid w:val="00F37FB9"/>
    <w:rsid w:val="00F408D1"/>
    <w:rsid w:val="00F419A1"/>
    <w:rsid w:val="00F42061"/>
    <w:rsid w:val="00F44EFA"/>
    <w:rsid w:val="00F45665"/>
    <w:rsid w:val="00F4566C"/>
    <w:rsid w:val="00F45748"/>
    <w:rsid w:val="00F4653E"/>
    <w:rsid w:val="00F50A0F"/>
    <w:rsid w:val="00F51235"/>
    <w:rsid w:val="00F514EE"/>
    <w:rsid w:val="00F5189F"/>
    <w:rsid w:val="00F51AAF"/>
    <w:rsid w:val="00F52A65"/>
    <w:rsid w:val="00F53052"/>
    <w:rsid w:val="00F53E03"/>
    <w:rsid w:val="00F55704"/>
    <w:rsid w:val="00F57A0A"/>
    <w:rsid w:val="00F606EE"/>
    <w:rsid w:val="00F60B52"/>
    <w:rsid w:val="00F61007"/>
    <w:rsid w:val="00F63BF4"/>
    <w:rsid w:val="00F6447C"/>
    <w:rsid w:val="00F659EE"/>
    <w:rsid w:val="00F66FA5"/>
    <w:rsid w:val="00F70E1E"/>
    <w:rsid w:val="00F71351"/>
    <w:rsid w:val="00F72363"/>
    <w:rsid w:val="00F724B9"/>
    <w:rsid w:val="00F72C4D"/>
    <w:rsid w:val="00F736EE"/>
    <w:rsid w:val="00F7447A"/>
    <w:rsid w:val="00F74C09"/>
    <w:rsid w:val="00F81A1C"/>
    <w:rsid w:val="00F83EA2"/>
    <w:rsid w:val="00F843C3"/>
    <w:rsid w:val="00F849AC"/>
    <w:rsid w:val="00F85425"/>
    <w:rsid w:val="00F861B4"/>
    <w:rsid w:val="00F870FB"/>
    <w:rsid w:val="00F910BC"/>
    <w:rsid w:val="00F92A8B"/>
    <w:rsid w:val="00F92C10"/>
    <w:rsid w:val="00F933D2"/>
    <w:rsid w:val="00F93A77"/>
    <w:rsid w:val="00F93C8D"/>
    <w:rsid w:val="00F969A3"/>
    <w:rsid w:val="00FA1A26"/>
    <w:rsid w:val="00FA2D31"/>
    <w:rsid w:val="00FA4BC6"/>
    <w:rsid w:val="00FA4E38"/>
    <w:rsid w:val="00FA4E6A"/>
    <w:rsid w:val="00FA4F4D"/>
    <w:rsid w:val="00FA54C9"/>
    <w:rsid w:val="00FA5867"/>
    <w:rsid w:val="00FA5EF5"/>
    <w:rsid w:val="00FA6624"/>
    <w:rsid w:val="00FA6F19"/>
    <w:rsid w:val="00FB2346"/>
    <w:rsid w:val="00FB2745"/>
    <w:rsid w:val="00FB35A7"/>
    <w:rsid w:val="00FB3EB0"/>
    <w:rsid w:val="00FB517F"/>
    <w:rsid w:val="00FB6E6A"/>
    <w:rsid w:val="00FB7B72"/>
    <w:rsid w:val="00FC0527"/>
    <w:rsid w:val="00FC0923"/>
    <w:rsid w:val="00FC0E28"/>
    <w:rsid w:val="00FC19B6"/>
    <w:rsid w:val="00FC20AA"/>
    <w:rsid w:val="00FC227A"/>
    <w:rsid w:val="00FC29B5"/>
    <w:rsid w:val="00FC4C8E"/>
    <w:rsid w:val="00FC5459"/>
    <w:rsid w:val="00FC5A84"/>
    <w:rsid w:val="00FC5F2A"/>
    <w:rsid w:val="00FC685D"/>
    <w:rsid w:val="00FC7527"/>
    <w:rsid w:val="00FC7DB6"/>
    <w:rsid w:val="00FD0CB7"/>
    <w:rsid w:val="00FD0E61"/>
    <w:rsid w:val="00FD110F"/>
    <w:rsid w:val="00FD3E58"/>
    <w:rsid w:val="00FD4E33"/>
    <w:rsid w:val="00FD54AE"/>
    <w:rsid w:val="00FD6085"/>
    <w:rsid w:val="00FD6B54"/>
    <w:rsid w:val="00FE0361"/>
    <w:rsid w:val="00FE1C06"/>
    <w:rsid w:val="00FE23DE"/>
    <w:rsid w:val="00FE40AE"/>
    <w:rsid w:val="00FE4F2D"/>
    <w:rsid w:val="00FE5BA9"/>
    <w:rsid w:val="00FE5CFE"/>
    <w:rsid w:val="00FE5DFF"/>
    <w:rsid w:val="00FE6874"/>
    <w:rsid w:val="00FF0B0F"/>
    <w:rsid w:val="00FF0E92"/>
    <w:rsid w:val="00FF166D"/>
    <w:rsid w:val="00FF1998"/>
    <w:rsid w:val="00FF4CB7"/>
    <w:rsid w:val="00FF5160"/>
    <w:rsid w:val="00FF599E"/>
    <w:rsid w:val="00FF5D22"/>
    <w:rsid w:val="00FF5F92"/>
    <w:rsid w:val="00FF7CB8"/>
    <w:rsid w:val="00FF7E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56C6F96"/>
  <w15:chartTrackingRefBased/>
  <w15:docId w15:val="{F5C77DB7-3249-477A-B63C-4DEA0B0D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77AE"/>
    <w:pPr>
      <w:overflowPunct w:val="0"/>
      <w:autoSpaceDE w:val="0"/>
      <w:autoSpaceDN w:val="0"/>
      <w:adjustRightInd w:val="0"/>
      <w:textAlignment w:val="baseline"/>
    </w:pPr>
    <w:rPr>
      <w:lang w:val="es-ES_tradnl"/>
    </w:rPr>
  </w:style>
  <w:style w:type="paragraph" w:styleId="Ttulo1">
    <w:name w:val="heading 1"/>
    <w:aliases w:val="título 1"/>
    <w:basedOn w:val="Normal"/>
    <w:next w:val="Normal"/>
    <w:qFormat/>
    <w:pPr>
      <w:spacing w:before="240"/>
      <w:outlineLvl w:val="0"/>
    </w:pPr>
    <w:rPr>
      <w:rFonts w:ascii="Univers (W1)" w:hAnsi="Univers (W1)"/>
      <w:b/>
      <w:sz w:val="24"/>
      <w:u w:val="single"/>
    </w:rPr>
  </w:style>
  <w:style w:type="paragraph" w:styleId="Ttulo2">
    <w:name w:val="heading 2"/>
    <w:aliases w:val="título 2"/>
    <w:basedOn w:val="Normal"/>
    <w:next w:val="Normal"/>
    <w:qFormat/>
    <w:pPr>
      <w:spacing w:before="120"/>
      <w:outlineLvl w:val="1"/>
    </w:pPr>
    <w:rPr>
      <w:rFonts w:ascii="Univers (W1)" w:hAnsi="Univers (W1)"/>
      <w:b/>
      <w:sz w:val="24"/>
    </w:rPr>
  </w:style>
  <w:style w:type="paragraph" w:styleId="Ttulo3">
    <w:name w:val="heading 3"/>
    <w:aliases w:val="título 3"/>
    <w:basedOn w:val="Normal"/>
    <w:next w:val="Sangranormal"/>
    <w:qFormat/>
    <w:pPr>
      <w:ind w:left="354"/>
      <w:outlineLvl w:val="2"/>
    </w:pPr>
    <w:rPr>
      <w:b/>
      <w:sz w:val="24"/>
    </w:rPr>
  </w:style>
  <w:style w:type="paragraph" w:styleId="Ttulo4">
    <w:name w:val="heading 4"/>
    <w:basedOn w:val="Normal"/>
    <w:next w:val="Sangranormal"/>
    <w:qFormat/>
    <w:pPr>
      <w:ind w:left="354"/>
      <w:outlineLvl w:val="3"/>
    </w:pPr>
    <w:rPr>
      <w:sz w:val="24"/>
      <w:u w:val="single"/>
    </w:rPr>
  </w:style>
  <w:style w:type="paragraph" w:styleId="Ttulo5">
    <w:name w:val="heading 5"/>
    <w:basedOn w:val="Normal"/>
    <w:next w:val="Sangranormal"/>
    <w:qFormat/>
    <w:pPr>
      <w:ind w:left="708"/>
      <w:outlineLvl w:val="4"/>
    </w:pPr>
    <w:rPr>
      <w:b/>
    </w:rPr>
  </w:style>
  <w:style w:type="paragraph" w:styleId="Ttulo6">
    <w:name w:val="heading 6"/>
    <w:basedOn w:val="Normal"/>
    <w:next w:val="Sangranormal"/>
    <w:qFormat/>
    <w:pPr>
      <w:ind w:left="708"/>
      <w:outlineLvl w:val="5"/>
    </w:pPr>
    <w:rPr>
      <w:u w:val="single"/>
    </w:rPr>
  </w:style>
  <w:style w:type="paragraph" w:styleId="Ttulo7">
    <w:name w:val="heading 7"/>
    <w:basedOn w:val="Normal"/>
    <w:next w:val="Sangranormal"/>
    <w:qFormat/>
    <w:pPr>
      <w:ind w:left="708"/>
      <w:outlineLvl w:val="6"/>
    </w:pPr>
    <w:rPr>
      <w:i/>
    </w:rPr>
  </w:style>
  <w:style w:type="paragraph" w:styleId="Ttulo8">
    <w:name w:val="heading 8"/>
    <w:basedOn w:val="Normal"/>
    <w:next w:val="Sangranormal"/>
    <w:qFormat/>
    <w:pPr>
      <w:ind w:left="708"/>
      <w:outlineLvl w:val="7"/>
    </w:pPr>
    <w:rPr>
      <w:i/>
    </w:rPr>
  </w:style>
  <w:style w:type="paragraph" w:styleId="Ttulo9">
    <w:name w:val="heading 9"/>
    <w:basedOn w:val="Normal"/>
    <w:next w:val="Sangranormal"/>
    <w:qFormat/>
    <w:pPr>
      <w:ind w:left="708"/>
      <w:outlineLvl w:val="8"/>
    </w:pPr>
    <w:rPr>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normal">
    <w:name w:val="Normal Indent"/>
    <w:basedOn w:val="Normal"/>
    <w:pPr>
      <w:ind w:left="708"/>
    </w:pPr>
  </w:style>
  <w:style w:type="paragraph" w:styleId="Piedepgina">
    <w:name w:val="footer"/>
    <w:aliases w:val="pie de página"/>
    <w:basedOn w:val="Normal"/>
    <w:pPr>
      <w:tabs>
        <w:tab w:val="center" w:pos="4819"/>
        <w:tab w:val="right" w:pos="9071"/>
      </w:tabs>
    </w:pPr>
  </w:style>
  <w:style w:type="paragraph" w:styleId="Encabezado">
    <w:name w:val="header"/>
    <w:aliases w:val="encabezado"/>
    <w:basedOn w:val="Normal"/>
    <w:pPr>
      <w:tabs>
        <w:tab w:val="center" w:pos="4819"/>
        <w:tab w:val="right" w:pos="9071"/>
      </w:tabs>
    </w:pPr>
  </w:style>
  <w:style w:type="character" w:styleId="Refdenotaalpie">
    <w:name w:val="footnote reference"/>
    <w:semiHidden/>
    <w:rPr>
      <w:position w:val="6"/>
      <w:sz w:val="16"/>
    </w:rPr>
  </w:style>
  <w:style w:type="paragraph" w:styleId="Textonotapie">
    <w:name w:val="footnote text"/>
    <w:basedOn w:val="Normal"/>
    <w:semiHidden/>
  </w:style>
  <w:style w:type="paragraph" w:customStyle="1" w:styleId="ni">
    <w:name w:val="ni"/>
    <w:basedOn w:val="Normal"/>
    <w:pPr>
      <w:spacing w:after="240"/>
      <w:ind w:left="360"/>
    </w:pPr>
    <w:rPr>
      <w:lang w:val="en-US"/>
    </w:rPr>
  </w:style>
  <w:style w:type="paragraph" w:customStyle="1" w:styleId="hi">
    <w:name w:val="hi"/>
    <w:basedOn w:val="ni"/>
    <w:pPr>
      <w:ind w:hanging="360"/>
    </w:pPr>
  </w:style>
  <w:style w:type="paragraph" w:customStyle="1" w:styleId="n">
    <w:name w:val="n"/>
    <w:basedOn w:val="Normal"/>
    <w:pPr>
      <w:spacing w:after="240"/>
    </w:pPr>
    <w:rPr>
      <w:lang w:val="en-US"/>
    </w:rPr>
  </w:style>
  <w:style w:type="paragraph" w:customStyle="1" w:styleId="ESPACIADOMINI">
    <w:name w:val="ESPACIADOMINI"/>
    <w:basedOn w:val="Normal"/>
    <w:pPr>
      <w:widowControl w:val="0"/>
      <w:tabs>
        <w:tab w:val="right" w:leader="hyphen" w:pos="7371"/>
      </w:tabs>
      <w:spacing w:line="280" w:lineRule="exact"/>
      <w:ind w:firstLine="567"/>
      <w:jc w:val="both"/>
    </w:pPr>
    <w:rPr>
      <w:rFonts w:ascii="Courier New" w:hAnsi="Courier New"/>
      <w:color w:val="FF0000"/>
      <w:position w:val="1"/>
      <w:sz w:val="24"/>
    </w:rPr>
  </w:style>
  <w:style w:type="paragraph" w:customStyle="1" w:styleId="SELLO">
    <w:name w:val="SELLO"/>
    <w:basedOn w:val="Normal"/>
    <w:pPr>
      <w:framePr w:w="3005" w:h="964" w:hRule="exact" w:hSpace="142" w:wrap="around" w:vAnchor="page" w:hAnchor="page" w:x="6285" w:y="4609" w:anchorLock="1"/>
      <w:widowControl w:val="0"/>
      <w:pBdr>
        <w:top w:val="single" w:sz="18" w:space="1" w:color="auto"/>
        <w:left w:val="single" w:sz="18" w:space="1" w:color="auto"/>
        <w:bottom w:val="single" w:sz="18" w:space="1" w:color="auto"/>
        <w:right w:val="single" w:sz="18" w:space="1" w:color="auto"/>
      </w:pBdr>
      <w:tabs>
        <w:tab w:val="right" w:leader="hyphen" w:pos="7371"/>
      </w:tabs>
      <w:jc w:val="center"/>
    </w:pPr>
    <w:rPr>
      <w:rFonts w:ascii="Arial Rounded MT Bold" w:hAnsi="Arial Rounded MT Bold"/>
      <w:b/>
      <w:position w:val="1"/>
      <w:sz w:val="16"/>
    </w:rPr>
  </w:style>
  <w:style w:type="paragraph" w:customStyle="1" w:styleId="Centrado">
    <w:name w:val="Centrado"/>
    <w:basedOn w:val="Normal"/>
    <w:next w:val="Normal"/>
    <w:pPr>
      <w:widowControl w:val="0"/>
      <w:tabs>
        <w:tab w:val="right" w:leader="hyphen" w:pos="7371"/>
      </w:tabs>
      <w:spacing w:line="560" w:lineRule="exact"/>
      <w:jc w:val="center"/>
    </w:pPr>
    <w:rPr>
      <w:rFonts w:ascii="CG Times" w:hAnsi="CG Times"/>
      <w:position w:val="1"/>
      <w:sz w:val="28"/>
    </w:rPr>
  </w:style>
  <w:style w:type="character" w:styleId="Hipervnculo">
    <w:name w:val="Hyperlink"/>
    <w:rPr>
      <w:color w:val="0000FF"/>
      <w:u w:val="single"/>
    </w:rPr>
  </w:style>
  <w:style w:type="character" w:styleId="Hipervnculovisitado">
    <w:name w:val="FollowedHyperlink"/>
    <w:rPr>
      <w:color w:val="800080"/>
      <w:u w:val="single"/>
    </w:rPr>
  </w:style>
  <w:style w:type="paragraph" w:styleId="NormalWeb">
    <w:name w:val="Normal (Web)"/>
    <w:basedOn w:val="Normal"/>
    <w:pPr>
      <w:overflowPunct/>
      <w:autoSpaceDE/>
      <w:autoSpaceDN/>
      <w:adjustRightInd/>
      <w:spacing w:before="100" w:beforeAutospacing="1" w:after="100" w:afterAutospacing="1"/>
      <w:textAlignment w:val="auto"/>
    </w:pPr>
    <w:rPr>
      <w:rFonts w:ascii="Times New Roman" w:hAnsi="Times New Roman"/>
      <w:sz w:val="24"/>
      <w:szCs w:val="24"/>
      <w:lang w:val="es-ES"/>
    </w:rPr>
  </w:style>
  <w:style w:type="character" w:styleId="Refdecomentario">
    <w:name w:val="annotation reference"/>
    <w:semiHidden/>
    <w:rPr>
      <w:sz w:val="16"/>
      <w:szCs w:val="16"/>
    </w:rPr>
  </w:style>
  <w:style w:type="paragraph" w:styleId="Textocomentario">
    <w:name w:val="annotation text"/>
    <w:basedOn w:val="Normal"/>
    <w:semiHidden/>
  </w:style>
  <w:style w:type="paragraph" w:styleId="Asuntodelcomentario">
    <w:name w:val="annotation subject"/>
    <w:basedOn w:val="Textocomentario"/>
    <w:next w:val="Textocomentario"/>
    <w:semiHidden/>
    <w:rPr>
      <w:b/>
      <w:bCs/>
    </w:rPr>
  </w:style>
  <w:style w:type="paragraph" w:styleId="Textodeglobo">
    <w:name w:val="Balloon Text"/>
    <w:basedOn w:val="Normal"/>
    <w:semiHidden/>
    <w:rPr>
      <w:rFonts w:ascii="Tahoma" w:hAnsi="Tahoma" w:cs="Tahoma"/>
      <w:sz w:val="16"/>
      <w:szCs w:val="16"/>
    </w:rPr>
  </w:style>
  <w:style w:type="paragraph" w:styleId="Textonotaalfinal">
    <w:name w:val="endnote text"/>
    <w:basedOn w:val="Normal"/>
    <w:semiHidden/>
  </w:style>
  <w:style w:type="character" w:styleId="Refdenotaalfinal">
    <w:name w:val="endnote reference"/>
    <w:semiHidden/>
    <w:rPr>
      <w:vertAlign w:val="superscript"/>
    </w:rPr>
  </w:style>
  <w:style w:type="character" w:styleId="nfasis">
    <w:name w:val="Emphasis"/>
    <w:qFormat/>
    <w:rPr>
      <w:b/>
      <w:bCs/>
      <w:i w:val="0"/>
      <w:iCs w:val="0"/>
    </w:rPr>
  </w:style>
  <w:style w:type="paragraph" w:styleId="Textoindependiente">
    <w:name w:val="Body Text"/>
    <w:basedOn w:val="Normal"/>
    <w:pPr>
      <w:spacing w:after="120"/>
    </w:pPr>
  </w:style>
  <w:style w:type="paragraph" w:customStyle="1" w:styleId="CarCarCarCarCarCharCharCar">
    <w:name w:val="Car Car Car Car Car Char Char Car"/>
    <w:basedOn w:val="Normal"/>
    <w:pPr>
      <w:widowControl w:val="0"/>
      <w:tabs>
        <w:tab w:val="left" w:leader="hyphen" w:pos="7370"/>
      </w:tabs>
      <w:overflowPunct/>
      <w:spacing w:line="560" w:lineRule="exact"/>
      <w:textAlignment w:val="auto"/>
    </w:pPr>
    <w:rPr>
      <w:rFonts w:ascii="Arial" w:hAnsi="Arial" w:cs="Arial"/>
      <w:noProof/>
      <w:sz w:val="24"/>
      <w:lang w:val="en-US"/>
    </w:rPr>
  </w:style>
  <w:style w:type="character" w:styleId="Textoennegrita">
    <w:name w:val="Strong"/>
    <w:uiPriority w:val="22"/>
    <w:qFormat/>
    <w:rPr>
      <w:b/>
      <w:bCs/>
    </w:rPr>
  </w:style>
  <w:style w:type="character" w:styleId="Nmerodepgina">
    <w:name w:val="page number"/>
    <w:basedOn w:val="Fuentedeprrafopredeter"/>
  </w:style>
  <w:style w:type="character" w:styleId="Mencinsinresolver">
    <w:name w:val="Unresolved Mention"/>
    <w:uiPriority w:val="99"/>
    <w:semiHidden/>
    <w:unhideWhenUsed/>
    <w:rsid w:val="00A36FED"/>
    <w:rPr>
      <w:color w:val="605E5C"/>
      <w:shd w:val="clear" w:color="auto" w:fill="E1DFDD"/>
    </w:rPr>
  </w:style>
  <w:style w:type="paragraph" w:styleId="Revisin">
    <w:name w:val="Revision"/>
    <w:hidden/>
    <w:uiPriority w:val="99"/>
    <w:semiHidden/>
    <w:rsid w:val="005B774A"/>
    <w:rPr>
      <w:lang w:val="es-ES_tradnl"/>
    </w:rPr>
  </w:style>
  <w:style w:type="paragraph" w:styleId="Prrafodelista">
    <w:name w:val="List Paragraph"/>
    <w:basedOn w:val="Normal"/>
    <w:uiPriority w:val="34"/>
    <w:qFormat/>
    <w:rsid w:val="00CF43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52474">
      <w:bodyDiv w:val="1"/>
      <w:marLeft w:val="0"/>
      <w:marRight w:val="0"/>
      <w:marTop w:val="0"/>
      <w:marBottom w:val="0"/>
      <w:divBdr>
        <w:top w:val="none" w:sz="0" w:space="0" w:color="auto"/>
        <w:left w:val="none" w:sz="0" w:space="0" w:color="auto"/>
        <w:bottom w:val="none" w:sz="0" w:space="0" w:color="auto"/>
        <w:right w:val="none" w:sz="0" w:space="0" w:color="auto"/>
      </w:divBdr>
    </w:div>
    <w:div w:id="611281340">
      <w:bodyDiv w:val="1"/>
      <w:marLeft w:val="0"/>
      <w:marRight w:val="0"/>
      <w:marTop w:val="0"/>
      <w:marBottom w:val="0"/>
      <w:divBdr>
        <w:top w:val="none" w:sz="0" w:space="0" w:color="auto"/>
        <w:left w:val="none" w:sz="0" w:space="0" w:color="auto"/>
        <w:bottom w:val="none" w:sz="0" w:space="0" w:color="auto"/>
        <w:right w:val="none" w:sz="0" w:space="0" w:color="auto"/>
      </w:divBdr>
    </w:div>
    <w:div w:id="627471941">
      <w:bodyDiv w:val="1"/>
      <w:marLeft w:val="0"/>
      <w:marRight w:val="0"/>
      <w:marTop w:val="0"/>
      <w:marBottom w:val="0"/>
      <w:divBdr>
        <w:top w:val="none" w:sz="0" w:space="0" w:color="auto"/>
        <w:left w:val="none" w:sz="0" w:space="0" w:color="auto"/>
        <w:bottom w:val="none" w:sz="0" w:space="0" w:color="auto"/>
        <w:right w:val="none" w:sz="0" w:space="0" w:color="auto"/>
      </w:divBdr>
      <w:divsChild>
        <w:div w:id="1972513793">
          <w:marLeft w:val="0"/>
          <w:marRight w:val="0"/>
          <w:marTop w:val="0"/>
          <w:marBottom w:val="0"/>
          <w:divBdr>
            <w:top w:val="none" w:sz="0" w:space="0" w:color="auto"/>
            <w:left w:val="none" w:sz="0" w:space="0" w:color="auto"/>
            <w:bottom w:val="none" w:sz="0" w:space="0" w:color="auto"/>
            <w:right w:val="none" w:sz="0" w:space="0" w:color="auto"/>
          </w:divBdr>
          <w:divsChild>
            <w:div w:id="206526777">
              <w:marLeft w:val="0"/>
              <w:marRight w:val="0"/>
              <w:marTop w:val="0"/>
              <w:marBottom w:val="0"/>
              <w:divBdr>
                <w:top w:val="none" w:sz="0" w:space="0" w:color="auto"/>
                <w:left w:val="none" w:sz="0" w:space="0" w:color="auto"/>
                <w:bottom w:val="none" w:sz="0" w:space="0" w:color="auto"/>
                <w:right w:val="none" w:sz="0" w:space="0" w:color="auto"/>
              </w:divBdr>
              <w:divsChild>
                <w:div w:id="1905068360">
                  <w:marLeft w:val="0"/>
                  <w:marRight w:val="0"/>
                  <w:marTop w:val="0"/>
                  <w:marBottom w:val="0"/>
                  <w:divBdr>
                    <w:top w:val="none" w:sz="0" w:space="0" w:color="auto"/>
                    <w:left w:val="none" w:sz="0" w:space="0" w:color="auto"/>
                    <w:bottom w:val="none" w:sz="0" w:space="0" w:color="auto"/>
                    <w:right w:val="none" w:sz="0" w:space="0" w:color="auto"/>
                  </w:divBdr>
                  <w:divsChild>
                    <w:div w:id="1328896740">
                      <w:marLeft w:val="0"/>
                      <w:marRight w:val="0"/>
                      <w:marTop w:val="0"/>
                      <w:marBottom w:val="0"/>
                      <w:divBdr>
                        <w:top w:val="none" w:sz="0" w:space="0" w:color="auto"/>
                        <w:left w:val="none" w:sz="0" w:space="0" w:color="auto"/>
                        <w:bottom w:val="none" w:sz="0" w:space="0" w:color="auto"/>
                        <w:right w:val="none" w:sz="0" w:space="0" w:color="auto"/>
                      </w:divBdr>
                      <w:divsChild>
                        <w:div w:id="2035184013">
                          <w:marLeft w:val="0"/>
                          <w:marRight w:val="0"/>
                          <w:marTop w:val="0"/>
                          <w:marBottom w:val="0"/>
                          <w:divBdr>
                            <w:top w:val="none" w:sz="0" w:space="0" w:color="auto"/>
                            <w:left w:val="none" w:sz="0" w:space="0" w:color="auto"/>
                            <w:bottom w:val="none" w:sz="0" w:space="0" w:color="auto"/>
                            <w:right w:val="none" w:sz="0" w:space="0" w:color="auto"/>
                          </w:divBdr>
                          <w:divsChild>
                            <w:div w:id="25643099">
                              <w:marLeft w:val="0"/>
                              <w:marRight w:val="0"/>
                              <w:marTop w:val="0"/>
                              <w:marBottom w:val="0"/>
                              <w:divBdr>
                                <w:top w:val="none" w:sz="0" w:space="0" w:color="auto"/>
                                <w:left w:val="none" w:sz="0" w:space="0" w:color="auto"/>
                                <w:bottom w:val="none" w:sz="0" w:space="0" w:color="auto"/>
                                <w:right w:val="none" w:sz="0" w:space="0" w:color="auto"/>
                              </w:divBdr>
                              <w:divsChild>
                                <w:div w:id="673728120">
                                  <w:marLeft w:val="0"/>
                                  <w:marRight w:val="0"/>
                                  <w:marTop w:val="0"/>
                                  <w:marBottom w:val="0"/>
                                  <w:divBdr>
                                    <w:top w:val="none" w:sz="0" w:space="0" w:color="auto"/>
                                    <w:left w:val="none" w:sz="0" w:space="0" w:color="auto"/>
                                    <w:bottom w:val="none" w:sz="0" w:space="0" w:color="auto"/>
                                    <w:right w:val="none" w:sz="0" w:space="0" w:color="auto"/>
                                  </w:divBdr>
                                  <w:divsChild>
                                    <w:div w:id="2002004499">
                                      <w:marLeft w:val="0"/>
                                      <w:marRight w:val="0"/>
                                      <w:marTop w:val="0"/>
                                      <w:marBottom w:val="0"/>
                                      <w:divBdr>
                                        <w:top w:val="none" w:sz="0" w:space="0" w:color="auto"/>
                                        <w:left w:val="none" w:sz="0" w:space="0" w:color="auto"/>
                                        <w:bottom w:val="none" w:sz="0" w:space="0" w:color="auto"/>
                                        <w:right w:val="none" w:sz="0" w:space="0" w:color="auto"/>
                                      </w:divBdr>
                                      <w:divsChild>
                                        <w:div w:id="58869241">
                                          <w:marLeft w:val="0"/>
                                          <w:marRight w:val="0"/>
                                          <w:marTop w:val="0"/>
                                          <w:marBottom w:val="0"/>
                                          <w:divBdr>
                                            <w:top w:val="none" w:sz="0" w:space="0" w:color="auto"/>
                                            <w:left w:val="none" w:sz="0" w:space="0" w:color="auto"/>
                                            <w:bottom w:val="none" w:sz="0" w:space="0" w:color="auto"/>
                                            <w:right w:val="none" w:sz="0" w:space="0" w:color="auto"/>
                                          </w:divBdr>
                                          <w:divsChild>
                                            <w:div w:id="1756512964">
                                              <w:marLeft w:val="0"/>
                                              <w:marRight w:val="0"/>
                                              <w:marTop w:val="600"/>
                                              <w:marBottom w:val="0"/>
                                              <w:divBdr>
                                                <w:top w:val="single" w:sz="6" w:space="0" w:color="DDDDDD"/>
                                                <w:left w:val="none" w:sz="0" w:space="0" w:color="auto"/>
                                                <w:bottom w:val="none" w:sz="0" w:space="0" w:color="auto"/>
                                                <w:right w:val="none" w:sz="0" w:space="0" w:color="auto"/>
                                              </w:divBdr>
                                              <w:divsChild>
                                                <w:div w:id="844829343">
                                                  <w:marLeft w:val="0"/>
                                                  <w:marRight w:val="0"/>
                                                  <w:marTop w:val="0"/>
                                                  <w:marBottom w:val="0"/>
                                                  <w:divBdr>
                                                    <w:top w:val="none" w:sz="0" w:space="0" w:color="auto"/>
                                                    <w:left w:val="none" w:sz="0" w:space="0" w:color="auto"/>
                                                    <w:bottom w:val="none" w:sz="0" w:space="0" w:color="auto"/>
                                                    <w:right w:val="none" w:sz="0" w:space="0" w:color="auto"/>
                                                  </w:divBdr>
                                                  <w:divsChild>
                                                    <w:div w:id="4833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6225452">
      <w:bodyDiv w:val="1"/>
      <w:marLeft w:val="0"/>
      <w:marRight w:val="0"/>
      <w:marTop w:val="0"/>
      <w:marBottom w:val="0"/>
      <w:divBdr>
        <w:top w:val="none" w:sz="0" w:space="0" w:color="auto"/>
        <w:left w:val="none" w:sz="0" w:space="0" w:color="auto"/>
        <w:bottom w:val="none" w:sz="0" w:space="0" w:color="auto"/>
        <w:right w:val="none" w:sz="0" w:space="0" w:color="auto"/>
      </w:divBdr>
    </w:div>
    <w:div w:id="157250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noticias.juridicas.com/base_datos/CCAA/538599-decreto-legislativo-2-2014-de-22-de-octubre-por-el-que-se-aprueba-el-texto.html" TargetMode="External"/><Relationship Id="rId299" Type="http://schemas.openxmlformats.org/officeDocument/2006/relationships/hyperlink" Target="http://noticias.juridicas.com/base_datos/Fiscal/l19-1991.html" TargetMode="External"/><Relationship Id="rId21" Type="http://schemas.openxmlformats.org/officeDocument/2006/relationships/hyperlink" Target="https://www.boe.es/diario_boe/txt.php?id=BOE-A-2021-11473" TargetMode="External"/><Relationship Id="rId63" Type="http://schemas.openxmlformats.org/officeDocument/2006/relationships/hyperlink" Target="https://www.tributasenasturias.es/imgvcm/stpa/PDF/Ficheros/Normativa/Resolucion261214.pdf" TargetMode="External"/><Relationship Id="rId159" Type="http://schemas.openxmlformats.org/officeDocument/2006/relationships/hyperlink" Target="https://www.boe.es/buscar/doc.php?id=BOPA-a-2023-90366" TargetMode="External"/><Relationship Id="rId324" Type="http://schemas.openxmlformats.org/officeDocument/2006/relationships/hyperlink" Target="http://www.boe.es/boe/dias/2012/12/28/pdfs/BOE-A-2012-15650.pdf" TargetMode="External"/><Relationship Id="rId366" Type="http://schemas.openxmlformats.org/officeDocument/2006/relationships/hyperlink" Target="mailto:certificados@oviedo.es" TargetMode="External"/><Relationship Id="rId170" Type="http://schemas.openxmlformats.org/officeDocument/2006/relationships/hyperlink" Target="https://www.boe.es/buscar/doc.php?id=BOPA-a-2023-90366" TargetMode="External"/><Relationship Id="rId226" Type="http://schemas.openxmlformats.org/officeDocument/2006/relationships/hyperlink" Target="https://noticias.juridicas.com/base_datos/Fiscal/l29-1987.html" TargetMode="External"/><Relationship Id="rId268" Type="http://schemas.openxmlformats.org/officeDocument/2006/relationships/hyperlink" Target="https://petete.minhafp.gob.es/consultas/?num_consulta=V3151-18" TargetMode="External"/><Relationship Id="rId32" Type="http://schemas.openxmlformats.org/officeDocument/2006/relationships/hyperlink" Target="http://noticias.juridicas.com/base_datos/Fiscal/640120-l-5-2019-de-15-mar-reguladora-de-los-contratos-de-credito-inmobiliario.html" TargetMode="External"/><Relationship Id="rId74" Type="http://schemas.openxmlformats.org/officeDocument/2006/relationships/hyperlink" Target="https://noticias.juridicas.com/base_datos/Fiscal/l29-1987.html" TargetMode="External"/><Relationship Id="rId128" Type="http://schemas.openxmlformats.org/officeDocument/2006/relationships/hyperlink" Target="http://noticias.juridicas.com/base_datos/Privado/l19-1995.html" TargetMode="External"/><Relationship Id="rId335" Type="http://schemas.openxmlformats.org/officeDocument/2006/relationships/hyperlink" Target="https://sede.asturias.es/bopa/2020/12/30/2020-11204.pdf" TargetMode="External"/><Relationship Id="rId5" Type="http://schemas.openxmlformats.org/officeDocument/2006/relationships/footnotes" Target="footnotes.xml"/><Relationship Id="rId181" Type="http://schemas.openxmlformats.org/officeDocument/2006/relationships/hyperlink" Target="http://noticias.juridicas.com/base_datos/Fiscal/l37-1992.t2.html" TargetMode="External"/><Relationship Id="rId237" Type="http://schemas.openxmlformats.org/officeDocument/2006/relationships/hyperlink" Target="http://noticias.juridicas.com/base_datos/CCAA/538599-decreto-legislativo-2-2014-de-22-de-octubre-por-el-que-se-aprueba-el-texto.html" TargetMode="External"/><Relationship Id="rId279" Type="http://schemas.openxmlformats.org/officeDocument/2006/relationships/hyperlink" Target="http://noticias.juridicas.com/base_datos/CCAA/538599-decreto-legislativo-2-2014-de-22-de-octubre-por-el-que-se-aprueba-el-texto.html" TargetMode="External"/><Relationship Id="rId43" Type="http://schemas.openxmlformats.org/officeDocument/2006/relationships/hyperlink" Target="http://noticias.juridicas.com/base_datos/CCAA/601447-l-7-2017-de-30-jun-ca-asturias-tercera-modificacion-del-texto-refundido-de.html" TargetMode="External"/><Relationship Id="rId139" Type="http://schemas.openxmlformats.org/officeDocument/2006/relationships/hyperlink" Target="https://www.tottributs.com/2026/02/6232/" TargetMode="External"/><Relationship Id="rId290" Type="http://schemas.openxmlformats.org/officeDocument/2006/relationships/hyperlink" Target="http://noticias.juridicas.com/base_datos/CCAA/538599-decreto-legislativo-2-2014-de-22-de-octubre-por-el-que-se-aprueba-el-texto.html" TargetMode="External"/><Relationship Id="rId304" Type="http://schemas.openxmlformats.org/officeDocument/2006/relationships/hyperlink" Target="http://noticias.juridicas.com/base_datos/Fiscal/l29-1987.html" TargetMode="External"/><Relationship Id="rId346" Type="http://schemas.openxmlformats.org/officeDocument/2006/relationships/hyperlink" Target="https://sede.asturias.es/bopa-disposiciones?p_p_id=pa_sede_bopa_web_portlet_SedeBopaDispositionWeb&amp;p_p_lifecycle=0&amp;_pa_sede_bopa_web_portlet_SedeBopaDispositionWeb_mvcRenderCommandName=%2Fdisposition%2Fdetail&amp;p_r_p_dispositionText=2021-05921&amp;p_r_p_dispositionReference=2021-05921&amp;p_r_p_dispositionDate=21%2F06%2F2021" TargetMode="External"/><Relationship Id="rId85" Type="http://schemas.openxmlformats.org/officeDocument/2006/relationships/hyperlink" Target="https://sede.tributasenasturias.es/sede/Servicios/AgregarDocumentacion" TargetMode="External"/><Relationship Id="rId150" Type="http://schemas.openxmlformats.org/officeDocument/2006/relationships/hyperlink" Target="https://miprincipado.asturias.es/ast/bopa/disposiciones?p_p_id=pa_sede_bopa_web_portlet_SedeBopaDispositionWeb&amp;p_p_lifecycle=0&amp;_pa_sede_bopa_web_portlet_SedeBopaDispositionWeb_mvcRenderCommandName=%2Fdisposition%2Fdetail&amp;p_r_p_dispositionText=2025-05426&amp;p_r_p_dispositionReference=2025-05426&amp;p_r_p_dispositionDate=27%2F06%2F2025" TargetMode="External"/><Relationship Id="rId192" Type="http://schemas.openxmlformats.org/officeDocument/2006/relationships/hyperlink" Target="http://noticias.juridicas.com/base_datos/CCAA/ga-dleg1-2011.html" TargetMode="External"/><Relationship Id="rId206" Type="http://schemas.openxmlformats.org/officeDocument/2006/relationships/hyperlink" Target="https://sede.asturias.es/bopa-disposiciones?p_p_id=pa_sede_bopa_web_portlet_SedeBopaDispositionWeb&amp;p_p_lifecycle=0&amp;_pa_sede_bopa_web_portlet_SedeBopaDispositionWeb_mvcRenderCommandName=%2Fdisposition%2Fdetail&amp;p_r_p_dispositionText=2024-11573&amp;p_r_p_dispositionReference=2024-11573&amp;p_r_p_dispositionDate=31%2F12%2F2024" TargetMode="External"/><Relationship Id="rId248" Type="http://schemas.openxmlformats.org/officeDocument/2006/relationships/hyperlink" Target="http://noticias.juridicas.com/base_datos/Fiscal/l22-2009.html" TargetMode="External"/><Relationship Id="rId12" Type="http://schemas.openxmlformats.org/officeDocument/2006/relationships/hyperlink" Target="https://noticias.juridicas.com/base_datos/Fiscal/rd1629-1991.t2.html" TargetMode="External"/><Relationship Id="rId108" Type="http://schemas.openxmlformats.org/officeDocument/2006/relationships/hyperlink" Target="https://sede.asturias.es/portal/site/Asturias/menuitem.1003733838db7342ebc4e191100000f7/?vgnextoid=d7d79d16b61ee010VgnVCM1000000100007fRCRD&amp;fecha=14/07/2010&amp;refArticulo=2010-15855&amp;i18n.http.lang=es" TargetMode="External"/><Relationship Id="rId315" Type="http://schemas.openxmlformats.org/officeDocument/2006/relationships/hyperlink" Target="http://noticias.juridicas.com/base_datos/CCAA/538599-decreto-legislativo-2-2014-de-22-de-octubre-por-el-que-se-aprueba-el-texto.html" TargetMode="External"/><Relationship Id="rId357" Type="http://schemas.openxmlformats.org/officeDocument/2006/relationships/hyperlink" Target="https://www.oviedo.es/documents/25047/25321/ORDENANZA+N%C2%BA+404+PLUSVAL%C3%8DA.pdf/0bba66cb-5fb2-4963-9d3a-3b8b1ed8f19c" TargetMode="External"/><Relationship Id="rId54" Type="http://schemas.openxmlformats.org/officeDocument/2006/relationships/hyperlink" Target="http://www.tributasenasturias.es" TargetMode="External"/><Relationship Id="rId96" Type="http://schemas.openxmlformats.org/officeDocument/2006/relationships/hyperlink" Target="https://sede.asturias.es/portal/site/Asturias/menuitem.46a76b28f520ecaaf18e90dbbb30a0a0/?vgnextoid=9767c159b5d4f010VgnVCM100000b0030a0aRCRD" TargetMode="External"/><Relationship Id="rId161" Type="http://schemas.openxmlformats.org/officeDocument/2006/relationships/hyperlink" Target="http://noticias.juridicas.com/base_datos/CCAA/538599-decreto-legislativo-2-2014-de-22-de-octubre-por-el-que-se-aprueba-el-texto.html" TargetMode="External"/><Relationship Id="rId217" Type="http://schemas.openxmlformats.org/officeDocument/2006/relationships/hyperlink" Target="https://noticias.juridicas.com/base_datos/Fiscal/l35-2006.t3.html" TargetMode="External"/><Relationship Id="rId259" Type="http://schemas.openxmlformats.org/officeDocument/2006/relationships/hyperlink" Target="http://curia.europa.eu/juris/document/document.jsf?text=&amp;docid=157285&amp;pageIndex=0&amp;doclang=es&amp;mode=req&amp;dir=&amp;occ=first&amp;part=1&amp;cid=225401" TargetMode="External"/><Relationship Id="rId23" Type="http://schemas.openxmlformats.org/officeDocument/2006/relationships/hyperlink" Target="http://noticias.juridicas.com/base_datos/Fiscal/rdleg1-1993.t4.html" TargetMode="External"/><Relationship Id="rId119" Type="http://schemas.openxmlformats.org/officeDocument/2006/relationships/hyperlink" Target="https://noticias.juridicas.com/base_datos/CCAA/749669-d-19-2023-de-10-mar-ca-asturias-regula-el-reconocimiento-de-la-condicion.html" TargetMode="External"/><Relationship Id="rId270" Type="http://schemas.openxmlformats.org/officeDocument/2006/relationships/hyperlink" Target="http://petete.minhap.gob.es/Scripts/know3.exe/tributos/CONSUVIN/texto.htm?NDoc=7280&amp;Consulta=%2EEN+FECHA%2DSALIDA+%28%32%34%2F%31%31%2F%3200%36%29&amp;Pos=10&amp;UD=1" TargetMode="External"/><Relationship Id="rId326" Type="http://schemas.openxmlformats.org/officeDocument/2006/relationships/hyperlink" Target="http://www.boe.es/boe/dias/2001/12/31/pdfs/A50383-50419.pdf" TargetMode="External"/><Relationship Id="rId65" Type="http://schemas.openxmlformats.org/officeDocument/2006/relationships/hyperlink" Target="https://www.tributasenasturias.es/imgvcm/stpa/PDF/Ficheros/Normativa/Resolucion191216.pdf" TargetMode="External"/><Relationship Id="rId130" Type="http://schemas.openxmlformats.org/officeDocument/2006/relationships/hyperlink" Target="http://noticias.juridicas.com/base_datos/CCAA/538599-decreto-legislativo-2-2014-de-22-de-octubre-por-el-que-se-aprueba-el-texto.html" TargetMode="External"/><Relationship Id="rId368" Type="http://schemas.openxmlformats.org/officeDocument/2006/relationships/hyperlink" Target="mailto:certificados@oviedo.es" TargetMode="External"/><Relationship Id="rId172" Type="http://schemas.openxmlformats.org/officeDocument/2006/relationships/hyperlink" Target="http://noticias.juridicas.com/base_datos/CCAA/538599-decreto-legislativo-2-2014-de-22-de-octubre-por-el-que-se-aprueba-el-texto.html" TargetMode="External"/><Relationship Id="rId228" Type="http://schemas.openxmlformats.org/officeDocument/2006/relationships/hyperlink" Target="https://noticias.juridicas.com/base_datos/Fiscal/rd1629-1991.t1.html" TargetMode="External"/><Relationship Id="rId281" Type="http://schemas.openxmlformats.org/officeDocument/2006/relationships/hyperlink" Target="http://noticias.juridicas.com/base_datos/Fiscal/l29-1987.html" TargetMode="External"/><Relationship Id="rId337" Type="http://schemas.openxmlformats.org/officeDocument/2006/relationships/hyperlink" Target="https://sede.asturias.es/portal/site/Asturias/menuitem.1003733838db7342ebc4e191100000f7/?vgnextoid=d7d79d16b61ee010VgnVCM1000000100007fRCRD&amp;fecha=21/05/2019&amp;refArticulo=2019-05253&amp;i18n.http.lang=es" TargetMode="External"/><Relationship Id="rId34" Type="http://schemas.openxmlformats.org/officeDocument/2006/relationships/hyperlink" Target="http://noticias.juridicas.com/base_datos/CCAA/634861-l-14-2018-28-de-dic-ca-asturias-de-presupuestos-generales-para-2019.html" TargetMode="External"/><Relationship Id="rId76" Type="http://schemas.openxmlformats.org/officeDocument/2006/relationships/hyperlink" Target="https://www.boe.es/buscar/act.php?id=BOE-A-2021-16584" TargetMode="External"/><Relationship Id="rId141" Type="http://schemas.openxmlformats.org/officeDocument/2006/relationships/hyperlink" Target="http://www.notariosyregistradores.com" TargetMode="External"/><Relationship Id="rId7" Type="http://schemas.openxmlformats.org/officeDocument/2006/relationships/hyperlink" Target="http://noticias.juridicas.com/base_datos/CCAA/538599-decreto-legislativo-2-2014-de-22-de-octubre-por-el-que-se-aprueba-el-texto.html" TargetMode="External"/><Relationship Id="rId183" Type="http://schemas.openxmlformats.org/officeDocument/2006/relationships/hyperlink" Target="http://noticias.juridicas.com/base_datos/Fiscal/l37-1992.t2.html" TargetMode="External"/><Relationship Id="rId239" Type="http://schemas.openxmlformats.org/officeDocument/2006/relationships/hyperlink" Target="http://noticias.juridicas.com/base_datos/CCAA/601447-l-7-2017-de-30-jun-ca-asturias-tercera-modificacion-del-texto-refundido-de.html" TargetMode="External"/><Relationship Id="rId250" Type="http://schemas.openxmlformats.org/officeDocument/2006/relationships/hyperlink" Target="http://noticias.juridicas.com/base_datos/CCAA/601447-l-7-2017-de-30-jun-ca-asturias-tercera-modificacion-del-texto-refundido-de.html" TargetMode="External"/><Relationship Id="rId292" Type="http://schemas.openxmlformats.org/officeDocument/2006/relationships/hyperlink" Target="http://noticias.juridicas.com/base_datos/Fiscal/l19-1991.html" TargetMode="External"/><Relationship Id="rId306" Type="http://schemas.openxmlformats.org/officeDocument/2006/relationships/hyperlink" Target="http://noticias.juridicas.com/base_datos/Fiscal/l29-1987.html" TargetMode="External"/><Relationship Id="rId45" Type="http://schemas.openxmlformats.org/officeDocument/2006/relationships/hyperlink" Target="https://www.boe.es/boe/dias/2018/11/09/pdfs/BOE-A-2018-15344.pdf" TargetMode="External"/><Relationship Id="rId87" Type="http://schemas.openxmlformats.org/officeDocument/2006/relationships/hyperlink" Target="https://sede.asturias.es/bopa/2010/11/09/2010-23529.pdf" TargetMode="External"/><Relationship Id="rId110" Type="http://schemas.openxmlformats.org/officeDocument/2006/relationships/hyperlink" Target="http://noticias.juridicas.com/base_datos/CCAA/538599-decreto-legislativo-2-2014-de-22-de-octubre-por-el-que-se-aprueba-el-texto.html" TargetMode="External"/><Relationship Id="rId348" Type="http://schemas.openxmlformats.org/officeDocument/2006/relationships/hyperlink" Target="https://sede.asturias.es/ast/bopa-disposiciones?p_p_id=pa_sede_bopa_web_portlet_SedeBopaDispositionWeb&amp;p_p_lifecycle=0&amp;_pa_sede_bopa_web_portlet_SedeBopaDispositionWeb_mvcRenderCommandName=%2Fdisposition%2Fdetail&amp;p_r_p_dispositionText=2023-04904&amp;p_r_p_dispositionReference=2023-04904&amp;p_r_p_dispositionDate=12%2F06%2F2023" TargetMode="External"/><Relationship Id="rId152" Type="http://schemas.openxmlformats.org/officeDocument/2006/relationships/hyperlink" Target="https://noticias.juridicas.com/base_datos/CCAA/965198-decreto-presidencia-reto-demografico-igualdad-y-turismo-83-2025-23-jun.html" TargetMode="External"/><Relationship Id="rId194" Type="http://schemas.openxmlformats.org/officeDocument/2006/relationships/hyperlink" Target="http://noticias.juridicas.com/base_datos/CCAA/538599-decreto-legislativo-2-2014-de-22-de-octubre-por-el-que-se-aprueba-el-texto.html" TargetMode="External"/><Relationship Id="rId208" Type="http://schemas.openxmlformats.org/officeDocument/2006/relationships/hyperlink" Target="http://noticias.juridicas.com/base_datos/Fiscal/l29-1987.html" TargetMode="External"/><Relationship Id="rId261" Type="http://schemas.openxmlformats.org/officeDocument/2006/relationships/hyperlink" Target="http://noticias.juridicas.com/base_datos/Fiscal/l29-1987.html" TargetMode="External"/><Relationship Id="rId14" Type="http://schemas.openxmlformats.org/officeDocument/2006/relationships/hyperlink" Target="https://bopa.vlex.io/es/vid/74064912" TargetMode="External"/><Relationship Id="rId56" Type="http://schemas.openxmlformats.org/officeDocument/2006/relationships/hyperlink" Target="https://www.tributasenasturias.es/stpa/Ciudadanos+y+Empresas/Informacion+Tributaria/Catalogo+de+tributos" TargetMode="External"/><Relationship Id="rId317" Type="http://schemas.openxmlformats.org/officeDocument/2006/relationships/hyperlink" Target="http://noticias.juridicas.com/base_datos/Fiscal/l29-1987.html" TargetMode="External"/><Relationship Id="rId359" Type="http://schemas.openxmlformats.org/officeDocument/2006/relationships/hyperlink" Target="https://hacienda.gijon.es/page/7746-plusvalias" TargetMode="External"/><Relationship Id="rId98" Type="http://schemas.openxmlformats.org/officeDocument/2006/relationships/hyperlink" Target="https://sede.asturias.es/bopa-disposiciones?p_p_id=pa_sede_bopa_web_portlet_SedeBopaDispositionWeb&amp;p_p_lifecycle=0&amp;_pa_sede_bopa_web_portlet_SedeBopaDispositionWeb_mvcRenderCommandName=%2Fdisposition%2Fdetail&amp;p_r_p_dispositionText=2023-00778&amp;p_r_p_dispositionReference=2023-00778&amp;p_r_p_dispositionDate=13%2F02%2F2023" TargetMode="External"/><Relationship Id="rId121" Type="http://schemas.openxmlformats.org/officeDocument/2006/relationships/hyperlink" Target="https://noticias.juridicas.com/base_datos/CCAA/538599-decreto-legislativo-2-2014-de-22-de-octubre-por-el-que-se-aprueba-el-texto.html" TargetMode="External"/><Relationship Id="rId163" Type="http://schemas.openxmlformats.org/officeDocument/2006/relationships/hyperlink" Target="https://sede.asturias.es/portal/site/Asturias/menuitem.1003733838db7342ebc4e191100000f7/?vgnextoid=d7d79d16b61ee010VgnVCM1000000100007fRCRD&amp;fecha=31/12/2020&amp;refArticulo=2020-11546&amp;i18n.http.lang=es" TargetMode="External"/><Relationship Id="rId219" Type="http://schemas.openxmlformats.org/officeDocument/2006/relationships/hyperlink" Target="https://noticias.juridicas.com/base_datos/Fiscal/l35-2006.t3.html" TargetMode="External"/><Relationship Id="rId370" Type="http://schemas.openxmlformats.org/officeDocument/2006/relationships/header" Target="header2.xml"/><Relationship Id="rId230" Type="http://schemas.openxmlformats.org/officeDocument/2006/relationships/hyperlink" Target="https://petete.tributos.hacienda.gob.es/consultas/?num_consulta=V0145-12" TargetMode="External"/><Relationship Id="rId25" Type="http://schemas.openxmlformats.org/officeDocument/2006/relationships/hyperlink" Target="http://noticias.juridicas.com/base_datos/Fiscal/rdleg1-1993.t5.html" TargetMode="External"/><Relationship Id="rId67" Type="http://schemas.openxmlformats.org/officeDocument/2006/relationships/hyperlink" Target="https://www.tributasenasturias.es/stpa/Ciudadanos+y+Empresas/Oficina+Virtual/Sin+certificado+digital/Calculo+de+Valoraciones" TargetMode="External"/><Relationship Id="rId272" Type="http://schemas.openxmlformats.org/officeDocument/2006/relationships/hyperlink" Target="http://noticias.juridicas.com/base_datos/CCAA/538599-decreto-legislativo-2-2014-de-22-de-octubre-por-el-que-se-aprueba-el-texto.html" TargetMode="External"/><Relationship Id="rId328" Type="http://schemas.openxmlformats.org/officeDocument/2006/relationships/hyperlink" Target="http://boe.es/boe/dias/2011/09/17/pdfs/BOE-A-2011-14809.pdf" TargetMode="External"/><Relationship Id="rId132" Type="http://schemas.openxmlformats.org/officeDocument/2006/relationships/hyperlink" Target="https://miprincipado.asturias.es/bopa/disposiciones?p_p_id=pa_sede_bopa_web_portlet_SedeBopaDispositionWeb&amp;p_p_lifecycle=0&amp;_pa_sede_bopa_web_portlet_SedeBopaDispositionWeb_mvcRenderCommandName=%2Fdisposition%2Fdetail&amp;p_r_p_dispositionText=2025-09912&amp;p_r_p_dispositionReference=2025-09912&amp;p_r_p_dispositionDate=02%2F12%2F2025" TargetMode="External"/><Relationship Id="rId174" Type="http://schemas.openxmlformats.org/officeDocument/2006/relationships/hyperlink" Target="http://noticias.juridicas.com/base_datos/Privado/l19-1995.html" TargetMode="External"/><Relationship Id="rId241" Type="http://schemas.openxmlformats.org/officeDocument/2006/relationships/hyperlink" Target="http://noticias.juridicas.com/base_datos/CCAA/538599-decreto-legislativo-2-2014-de-22-de-octubre-por-el-que-se-aprueba-el-texto.html" TargetMode="External"/><Relationship Id="rId15" Type="http://schemas.openxmlformats.org/officeDocument/2006/relationships/hyperlink" Target="https://www.boe.es/buscar/act.php?id=BOE-A-2005-14803&amp;p=20240131&amp;tn=1" TargetMode="External"/><Relationship Id="rId36" Type="http://schemas.openxmlformats.org/officeDocument/2006/relationships/hyperlink" Target="http://noticias.juridicas.com/base_datos/CCAA/538599-decreto-legislativo-2-2014-de-22-de-octubre-por-el-que-se-aprueba-el-texto.html" TargetMode="External"/><Relationship Id="rId57" Type="http://schemas.openxmlformats.org/officeDocument/2006/relationships/hyperlink" Target="https://www.tributasenasturias.es/stpa/Ciudadanos+y+Empresas/Normativa" TargetMode="External"/><Relationship Id="rId262" Type="http://schemas.openxmlformats.org/officeDocument/2006/relationships/hyperlink" Target="http://curia.europa.eu/juris/document/document.jsf?text=&amp;docid=157285&amp;pageIndex=0&amp;doclang=es&amp;mode=req&amp;dir=&amp;occ=first&amp;part=1&amp;cid=225401" TargetMode="External"/><Relationship Id="rId283" Type="http://schemas.openxmlformats.org/officeDocument/2006/relationships/hyperlink" Target="http://noticias.juridicas.com/base_datos/CCAA/588320-l-6-2016-de-30-dic-ca-astuiras-de-presupuestos-generales-para-2017.html" TargetMode="External"/><Relationship Id="rId318" Type="http://schemas.openxmlformats.org/officeDocument/2006/relationships/hyperlink" Target="https://sede.asturias.es/portal/site/Asturias/menuitem.1003733838db7342ebc4e191100000f7/?vgnextoid=d7d79d16b61ee010VgnVCM1000000100007fRCRD&amp;fecha=31/12/2008&amp;refArticulo=2008-25602&amp;i18n.http.lang=es" TargetMode="External"/><Relationship Id="rId339" Type="http://schemas.openxmlformats.org/officeDocument/2006/relationships/hyperlink" Target="https://sede.asturias.es/portal/site/Asturias/menuitem.1003733838db7342ebc4e191100000f7/?vgnextoid=d7d79d16b61ee010VgnVCM1000000100007fRCRD&amp;fecha=26/02/2020&amp;refArticulo=2020-01955&amp;i18n.http.lang=es" TargetMode="External"/><Relationship Id="rId78" Type="http://schemas.openxmlformats.org/officeDocument/2006/relationships/hyperlink" Target="http://www.oviedonotaria.com" TargetMode="External"/><Relationship Id="rId99" Type="http://schemas.openxmlformats.org/officeDocument/2006/relationships/hyperlink" Target="http://noticias.juridicas.com/base_datos/CCAA/as-l4-2002.html" TargetMode="External"/><Relationship Id="rId101" Type="http://schemas.openxmlformats.org/officeDocument/2006/relationships/hyperlink" Target="http://noticias.juridicas.com/base_datos/CCAA/538599-decreto-legislativo-2-2014-de-22-de-octubre-por-el-que-se-aprueba-el-texto.html" TargetMode="External"/><Relationship Id="rId122" Type="http://schemas.openxmlformats.org/officeDocument/2006/relationships/hyperlink" Target="https://noticias.juridicas.com/base_datos/CCAA/538599-decreto-legislativo-2-2014-de-22-de-octubre-por-el-que-se-aprueba-el-texto.html" TargetMode="External"/><Relationship Id="rId143" Type="http://schemas.openxmlformats.org/officeDocument/2006/relationships/hyperlink" Target="https://noticias.juridicas.com/base_datos/CCAA/538599-decreto-legislativo-2-2014-de-22-de-octubre-por-el-que-se-aprueba-el-texto.html" TargetMode="External"/><Relationship Id="rId164" Type="http://schemas.openxmlformats.org/officeDocument/2006/relationships/hyperlink" Target="http://noticias.juridicas.com/base_datos/CCAA/538599-decreto-legislativo-2-2014-de-22-de-octubre-por-el-que-se-aprueba-el-texto.html" TargetMode="External"/><Relationship Id="rId185" Type="http://schemas.openxmlformats.org/officeDocument/2006/relationships/hyperlink" Target="http://noticias.juridicas.com/base_datos/Fiscal/l37-1992.t7.html" TargetMode="External"/><Relationship Id="rId350" Type="http://schemas.openxmlformats.org/officeDocument/2006/relationships/hyperlink" Target="https://sede.asturias.es/bopa-disposiciones?p_p_id=pa_sede_bopa_web_portlet_SedeBopaDispositionWeb&amp;p_p_lifecycle=0&amp;_pa_sede_bopa_web_portlet_SedeBopaDispositionWeb_mvcRenderCommandName=%2Fdisposition%2Fdetail&amp;p_r_p_dispositionText=2023-09879&amp;p_r_p_dispositionReference=2023-09879&amp;p_r_p_dispositionDate=13%2F11%2F2023" TargetMode="External"/><Relationship Id="rId371" Type="http://schemas.openxmlformats.org/officeDocument/2006/relationships/fontTable" Target="fontTable.xml"/><Relationship Id="rId9" Type="http://schemas.openxmlformats.org/officeDocument/2006/relationships/hyperlink" Target="http://noticias.juridicas.com/base_datos/CCAA/as-l4-2002.html" TargetMode="External"/><Relationship Id="rId210" Type="http://schemas.openxmlformats.org/officeDocument/2006/relationships/hyperlink" Target="http://noticias.juridicas.com/base_datos/Fiscal/l22-2009.t3.html" TargetMode="External"/><Relationship Id="rId26" Type="http://schemas.openxmlformats.org/officeDocument/2006/relationships/hyperlink" Target="http://noticias.juridicas.com/base_datos/Fiscal/515558-l-16-2013-de-29-oct-medidas-en-materia-de-fiscalidad-medioambiental-y-se.html" TargetMode="External"/><Relationship Id="rId231" Type="http://schemas.openxmlformats.org/officeDocument/2006/relationships/hyperlink" Target="https://www.navarra.es/NR/rdonlyres/A6C156D7-C06D-4D45-8B9F-4C3B4AB5BE40/0/LeySuchtmv21.html?v=v20250101" TargetMode="External"/><Relationship Id="rId252" Type="http://schemas.openxmlformats.org/officeDocument/2006/relationships/hyperlink" Target="http://noticias.juridicas.com/base_datos/Fiscal/l29-1987.html" TargetMode="External"/><Relationship Id="rId273" Type="http://schemas.openxmlformats.org/officeDocument/2006/relationships/hyperlink" Target="http://noticias.juridicas.com/base_datos/Fiscal/l29-1987.html" TargetMode="External"/><Relationship Id="rId294" Type="http://schemas.openxmlformats.org/officeDocument/2006/relationships/hyperlink" Target="http://noticias.juridicas.com/base_datos/CCAA/538599-decreto-legislativo-2-2014-de-22-de-octubre-por-el-que-se-aprueba-el-texto.html" TargetMode="External"/><Relationship Id="rId308" Type="http://schemas.openxmlformats.org/officeDocument/2006/relationships/hyperlink" Target="http://noticias.juridicas.com/base_datos/CCAA/588320-l-6-2016-de-30-dic-ca-astuiras-de-presupuestos-generales-para-2017.html" TargetMode="External"/><Relationship Id="rId329" Type="http://schemas.openxmlformats.org/officeDocument/2006/relationships/hyperlink" Target="https://www.boe.es/diario_boe/txt.php?id=BOE-A-2020-17339" TargetMode="External"/><Relationship Id="rId47" Type="http://schemas.openxmlformats.org/officeDocument/2006/relationships/hyperlink" Target="https://sede.asturias.es/bopa-disposiciones?p_p_id=pa_sede_bopa_web_portlet_SedeBopaDispositionWeb&amp;p_p_lifecycle=0&amp;_pa_sede_bopa_web_portlet_SedeBopaDispositionWeb_mvcRenderCommandName=%2Fdisposition%2Fdetail&amp;p_r_p_dispositionText=2021-11414&amp;p_r_p_dispositionReference=2021-11414&amp;p_r_p_dispositionDate=31%2F12%2F2021" TargetMode="External"/><Relationship Id="rId68" Type="http://schemas.openxmlformats.org/officeDocument/2006/relationships/hyperlink" Target="https://www.tributasenasturias.es/imgvcm/stpa/PDF/Ficheros/Normativa/Decreto1212013.pdf" TargetMode="External"/><Relationship Id="rId89" Type="http://schemas.openxmlformats.org/officeDocument/2006/relationships/hyperlink" Target="https://www.tributasenasturias.es/imgvcm/stpa/PDF/Ficheros/Normativa/Resolucion200510.pdf" TargetMode="External"/><Relationship Id="rId112" Type="http://schemas.openxmlformats.org/officeDocument/2006/relationships/hyperlink" Target="https://docs.google.com/viewer?a=v&amp;pid=sites&amp;srcid=ZGVmYXVsdGRvbWFpbnxsZXZhbnRlbm90fGd4OjRiYzI2NjA2ZTZjNDI5MDQ" TargetMode="External"/><Relationship Id="rId133" Type="http://schemas.openxmlformats.org/officeDocument/2006/relationships/hyperlink" Target="https://miprincipado.asturias.es/ast/bopa/disposiciones?p_p_id=pa_sede_bopa_web_portlet_SedeBopaDispositionWeb&amp;p_p_lifecycle=0&amp;_pa_sede_bopa_web_portlet_SedeBopaDispositionWeb_mvcRenderCommandName=%2Fdisposition%2Fdetail&amp;p_r_p_dispositionText=2026-04107&amp;p_r_p_dispositionReference=2026-04107&amp;p_r_p_dispositionDate=21%2F05%2F2026" TargetMode="External"/><Relationship Id="rId154" Type="http://schemas.openxmlformats.org/officeDocument/2006/relationships/hyperlink" Target="https://www.boe.es/buscar/doc.php?id=BOPA-a-2023-90366" TargetMode="External"/><Relationship Id="rId175" Type="http://schemas.openxmlformats.org/officeDocument/2006/relationships/hyperlink" Target="https://www.boe.es/buscar/doc.php?id=BOPA-a-2023-90366" TargetMode="External"/><Relationship Id="rId340" Type="http://schemas.openxmlformats.org/officeDocument/2006/relationships/hyperlink" Target="https://www.google.es/url?sa=t&amp;rct=j&amp;q=&amp;esrc=s&amp;source=web&amp;cd=1&amp;cad=rja&amp;uact=8&amp;ved=0ahUKEwii1fKi6vLYAhWEF8AKHX_vBKIQFggoMAA&amp;url=https%3A%2F%2Fsede.asturias.es%2Fbopa%2F2017%2F03%2F16%2F2017-02610.pdf&amp;usg=AOvVaw0UWHmUwlb0UbtiMn3x20_6" TargetMode="External"/><Relationship Id="rId361" Type="http://schemas.openxmlformats.org/officeDocument/2006/relationships/hyperlink" Target="https://sedeelectronica.gijon.es/page/6026-ordenanzas" TargetMode="External"/><Relationship Id="rId196" Type="http://schemas.openxmlformats.org/officeDocument/2006/relationships/hyperlink" Target="http://noticias.juridicas.com/base_datos/Fiscal/l37-1992.t2.html" TargetMode="External"/><Relationship Id="rId200" Type="http://schemas.openxmlformats.org/officeDocument/2006/relationships/hyperlink" Target="http://noticias.juridicas.com/base_datos/CCAA/538599-decreto-legislativo-2-2014-de-22-de-octubre-por-el-que-se-aprueba-el-texto.html" TargetMode="External"/><Relationship Id="rId16" Type="http://schemas.openxmlformats.org/officeDocument/2006/relationships/hyperlink" Target="http://www.poderjudicial.es/search/openDocument/0a1cee4148bceea3" TargetMode="External"/><Relationship Id="rId221" Type="http://schemas.openxmlformats.org/officeDocument/2006/relationships/hyperlink" Target="http://noticias.juridicas.com/base_datos/Admin/rdleg2-2004.t2.html" TargetMode="External"/><Relationship Id="rId242" Type="http://schemas.openxmlformats.org/officeDocument/2006/relationships/hyperlink" Target="https://docs.google.com/viewer?a=v&amp;pid=sites&amp;srcid=ZGVmYXVsdGRvbWFpbnxsZXZhbnRlbm90fGd4OjJmZWNiZTQwZTI4OGRkMTA" TargetMode="External"/><Relationship Id="rId263" Type="http://schemas.openxmlformats.org/officeDocument/2006/relationships/hyperlink" Target="http://noticias.juridicas.com/base_datos/Fiscal/l29-1987.html" TargetMode="External"/><Relationship Id="rId284" Type="http://schemas.openxmlformats.org/officeDocument/2006/relationships/hyperlink" Target="http://noticias.juridicas.com/base_datos/Fiscal/l29-1987.html" TargetMode="External"/><Relationship Id="rId319" Type="http://schemas.openxmlformats.org/officeDocument/2006/relationships/hyperlink" Target="http://noticias.juridicas.com/base_datos/Fiscal/l29-1987.html" TargetMode="External"/><Relationship Id="rId37" Type="http://schemas.openxmlformats.org/officeDocument/2006/relationships/hyperlink" Target="https://sede.asturias.es/portal/site/Asturias/menuitem.1003733838db7342ebc4e191100000f7/?vgnextoid=d7d79d16b61ee010VgnVCM1000000100007fRCRD&amp;fecha=31/12/2003&amp;refArticulo=2003-2231002&amp;i18n.http.lang=es" TargetMode="External"/><Relationship Id="rId58" Type="http://schemas.openxmlformats.org/officeDocument/2006/relationships/hyperlink" Target="https://www.tributasenasturias.es/stpa/Ciudadanos+y+Empresas/Oficina+Virtual" TargetMode="External"/><Relationship Id="rId79" Type="http://schemas.openxmlformats.org/officeDocument/2006/relationships/hyperlink" Target="http://www.poderjudicial.es/search/AN/openDocument/d5a3a2133e9d3be6/20210208" TargetMode="External"/><Relationship Id="rId102" Type="http://schemas.openxmlformats.org/officeDocument/2006/relationships/hyperlink" Target="https://docs.google.com/viewer?a=v&amp;pid=sites&amp;srcid=ZGVmYXVsdGRvbWFpbnxsZXZhbnRlbm90fGd4OjJmZWNiZTQwZTI4OGRkMTA" TargetMode="External"/><Relationship Id="rId123" Type="http://schemas.openxmlformats.org/officeDocument/2006/relationships/hyperlink" Target="http://noticias.juridicas.com/base_datos/CCAA/538599-decreto-legislativo-2-2014-de-22-de-octubre-por-el-que-se-aprueba-el-texto.html" TargetMode="External"/><Relationship Id="rId144" Type="http://schemas.openxmlformats.org/officeDocument/2006/relationships/hyperlink" Target="https://miprincipado.asturias.es/bopa/disposiciones?p_p_id=pa_sede_bopa_web_portlet_SedeBopaDispositionWeb&amp;p_p_lifecycle=0&amp;_pa_sede_bopa_web_portlet_SedeBopaDispositionWeb_mvcRenderCommandName=%2Fdisposition%2Fdetail&amp;p_r_p_dispositionText=2025-09912&amp;p_r_p_dispositionReference=2025-09912&amp;p_r_p_dispositionDate=02%2F12%2F2025" TargetMode="External"/><Relationship Id="rId330" Type="http://schemas.openxmlformats.org/officeDocument/2006/relationships/hyperlink" Target="http://noticias.juridicas.com/base_datos/CCAA/538599-decreto-legislativo-2-2014-de-22-de-octubre-por-el-que-se-aprueba-el-texto.html" TargetMode="External"/><Relationship Id="rId90" Type="http://schemas.openxmlformats.org/officeDocument/2006/relationships/hyperlink" Target="https://sede.asturias.es/bopa/2010/11/09/2010-23529.pdf" TargetMode="External"/><Relationship Id="rId165" Type="http://schemas.openxmlformats.org/officeDocument/2006/relationships/hyperlink" Target="http://noticias.juridicas.com/base_datos/CCAA/634861-l-14-2018-28-de-dic-ca-asturias-de-presupuestos-generales-para-2019.html" TargetMode="External"/><Relationship Id="rId186" Type="http://schemas.openxmlformats.org/officeDocument/2006/relationships/hyperlink" Target="http://noticias.juridicas.com/base_datos/Fiscal/l37-1992.t7.html" TargetMode="External"/><Relationship Id="rId351" Type="http://schemas.openxmlformats.org/officeDocument/2006/relationships/hyperlink" Target="https://sede.asturias.es/bopa-disposiciones?p_p_id=pa_sede_bopa_web_portlet_SedeBopaDispositionWeb&amp;p_p_lifecycle=0&amp;p_p_state=normal&amp;p_p_mode=view&amp;_pa_sede_bopa_web_portlet_SedeBopaDispositionWeb_mvcRenderCommandName=%2Fdisposition%2Fdetail&amp;p_r_p_dispositionText=termino&amp;p_r_p_dispositionReference=2021-04516&amp;p_r_p_dispositionDate=14%2F05%2F2021&amp;_pa_sede_bopa_web_portlet_SedeBopaDispositionWeb_isTextDateSearch=false" TargetMode="External"/><Relationship Id="rId372" Type="http://schemas.openxmlformats.org/officeDocument/2006/relationships/theme" Target="theme/theme1.xml"/><Relationship Id="rId211" Type="http://schemas.openxmlformats.org/officeDocument/2006/relationships/hyperlink" Target="http://noticias.juridicas.com/base_datos/Fiscal/l22-2009.html" TargetMode="External"/><Relationship Id="rId232" Type="http://schemas.openxmlformats.org/officeDocument/2006/relationships/hyperlink" Target="https://www.iberley.es/legislacion/articulo-36-impuesto-sobre-sucesiones-donaciones-alava" TargetMode="External"/><Relationship Id="rId253" Type="http://schemas.openxmlformats.org/officeDocument/2006/relationships/hyperlink" Target="http://noticias.juridicas.com/base_datos/Fiscal/l29-1987.html" TargetMode="External"/><Relationship Id="rId274" Type="http://schemas.openxmlformats.org/officeDocument/2006/relationships/hyperlink" Target="http://noticias.juridicas.com/base_datos/CCAA/538599-decreto-legislativo-2-2014-de-22-de-octubre-por-el-que-se-aprueba-el-texto.html" TargetMode="External"/><Relationship Id="rId295" Type="http://schemas.openxmlformats.org/officeDocument/2006/relationships/hyperlink" Target="http://noticias.juridicas.com/base_datos/CCAA/601447-l-7-2017-de-30-jun-ca-asturias-tercera-modificacion-del-texto-refundido-de.html" TargetMode="External"/><Relationship Id="rId309" Type="http://schemas.openxmlformats.org/officeDocument/2006/relationships/hyperlink" Target="http://noticias.juridicas.com/base_datos/CCAA/538599-decreto-legislativo-2-2014-de-22-de-octubre-por-el-que-se-aprueba-el-texto.html" TargetMode="External"/><Relationship Id="rId27" Type="http://schemas.openxmlformats.org/officeDocument/2006/relationships/hyperlink" Target="http://noticias.juridicas.com/base_datos/Fiscal/rdleg1-1993.t5.html" TargetMode="External"/><Relationship Id="rId48" Type="http://schemas.openxmlformats.org/officeDocument/2006/relationships/hyperlink" Target="https://noticias.juridicas.com/base_datos/CCAA/745113-ley-10-2022-de-30-dic-ca-asturias-presupuestos-generales-para-2023.html" TargetMode="External"/><Relationship Id="rId69" Type="http://schemas.openxmlformats.org/officeDocument/2006/relationships/hyperlink" Target="https://noticias.juridicas.com/base_datos/Fiscal/702808-l-11-2021-de-jul-medidas-prevencion-y-lucha-contra-fraude-fiscal-transposicion.html" TargetMode="External"/><Relationship Id="rId113" Type="http://schemas.openxmlformats.org/officeDocument/2006/relationships/hyperlink" Target="https://noticias.juridicas.com/base_datos/CCAA/538599-decreto-legislativo-2-2014-de-22-de-octubre-por-el-que-se-aprueba-el-texto.html" TargetMode="External"/><Relationship Id="rId134" Type="http://schemas.openxmlformats.org/officeDocument/2006/relationships/hyperlink" Target="https://miprincipado.asturias.es/ast/bopa/disposiciones?p_p_id=pa_sede_bopa_web_portlet_SedeBopaDispositionWeb&amp;p_p_lifecycle=0&amp;_pa_sede_bopa_web_portlet_SedeBopaDispositionWeb_mvcRenderCommandName=%2Fdisposition%2Fdetail&amp;p_r_p_dispositionText=2026-04318&amp;p_r_p_dispositionReference=2026-04318&amp;p_r_p_dispositionDate=27%2F05%2F2026" TargetMode="External"/><Relationship Id="rId320" Type="http://schemas.openxmlformats.org/officeDocument/2006/relationships/hyperlink" Target="http://noticias.juridicas.com/base_datos/CCAA/538599-decreto-legislativo-2-2014-de-22-de-octubre-por-el-que-se-aprueba-el-texto.html" TargetMode="External"/><Relationship Id="rId80" Type="http://schemas.openxmlformats.org/officeDocument/2006/relationships/hyperlink" Target="https://www.tributasenasturias.es/imgvcm/stpa/PDF/Ficheros/Normativa/Decreto1212013.pdf" TargetMode="External"/><Relationship Id="rId155" Type="http://schemas.openxmlformats.org/officeDocument/2006/relationships/hyperlink" Target="https://sede.asturias.es/bopa-disposiciones?p_p_id=pa_sede_bopa_web_portlet_SedeBopaDispositionWeb&amp;p_p_lifecycle=0&amp;_pa_sede_bopa_web_portlet_SedeBopaDispositionWeb_mvcRenderCommandName=%2Fdisposition%2Fdetail&amp;p_r_p_dispositionText=2024-11573&amp;p_r_p_dispositionReference=2024-11573&amp;p_r_p_dispositionDate=31%2F12%2F2024" TargetMode="External"/><Relationship Id="rId176" Type="http://schemas.openxmlformats.org/officeDocument/2006/relationships/hyperlink" Target="http://noticias.juridicas.com/base_datos/Privado/l19-1995.html" TargetMode="External"/><Relationship Id="rId197" Type="http://schemas.openxmlformats.org/officeDocument/2006/relationships/hyperlink" Target="http://noticias.juridicas.com/base_datos/Fiscal/l37-1992.t2.html" TargetMode="External"/><Relationship Id="rId341" Type="http://schemas.openxmlformats.org/officeDocument/2006/relationships/hyperlink" Target="mailto:informaci&#243;n@ayto-gozon.org" TargetMode="External"/><Relationship Id="rId362" Type="http://schemas.openxmlformats.org/officeDocument/2006/relationships/hyperlink" Target="https://sedeelectronica.gijon.es/page/6026-ordenanzas" TargetMode="External"/><Relationship Id="rId201" Type="http://schemas.openxmlformats.org/officeDocument/2006/relationships/hyperlink" Target="https://www.boe.es/boe/dias/2018/11/09/pdfs/BOE-A-2018-15344.pdf" TargetMode="External"/><Relationship Id="rId222" Type="http://schemas.openxmlformats.org/officeDocument/2006/relationships/hyperlink" Target="http://noticias.juridicas.com/base_datos/Fiscal/rd828-1995.t2.html" TargetMode="External"/><Relationship Id="rId243" Type="http://schemas.openxmlformats.org/officeDocument/2006/relationships/hyperlink" Target="http://noticias.juridicas.com/base_datos/CCAA/538599-decreto-legislativo-2-2014-de-22-de-octubre-por-el-que-se-aprueba-el-texto.html" TargetMode="External"/><Relationship Id="rId264" Type="http://schemas.openxmlformats.org/officeDocument/2006/relationships/hyperlink" Target="http://curia.europa.eu/juris/document/document.jsf?text=&amp;docid=157285&amp;pageIndex=0&amp;doclang=es&amp;mode=req&amp;dir=&amp;occ=first&amp;part=1&amp;cid=225401" TargetMode="External"/><Relationship Id="rId285" Type="http://schemas.openxmlformats.org/officeDocument/2006/relationships/hyperlink" Target="http://noticias.juridicas.com/base_datos/CCAA/538599-decreto-legislativo-2-2014-de-22-de-octubre-por-el-que-se-aprueba-el-texto.html" TargetMode="External"/><Relationship Id="rId17" Type="http://schemas.openxmlformats.org/officeDocument/2006/relationships/hyperlink" Target="http://www.poderjudicial.es/search/contenidos.action?action=contentpdf&amp;databasematch=TS&amp;reference=8750827&amp;statsQueryId=111355011&amp;calledfrom=searchresults&amp;links=&amp;optimize=20190506&amp;publicinterface=true" TargetMode="External"/><Relationship Id="rId38" Type="http://schemas.openxmlformats.org/officeDocument/2006/relationships/hyperlink" Target="https://sede.asturias.es/portal/site/Asturias/menuitem.1003733838db7342ebc4e191100000f7/?vgnextoid=d7d79d16b61ee010VgnVCM1000000100007fRCRD&amp;fecha=30/12/2006&amp;refArticulo=2006-2230066&amp;i18n.http.lang=es" TargetMode="External"/><Relationship Id="rId59" Type="http://schemas.openxmlformats.org/officeDocument/2006/relationships/hyperlink" Target="https://www.tributasenasturias.es/stpa/Ciudadanos+y+Empresas/Oficina+Virtual/Sin+certificado+digital/Calculo+de+Valoraciones" TargetMode="External"/><Relationship Id="rId103" Type="http://schemas.openxmlformats.org/officeDocument/2006/relationships/hyperlink" Target="http://petete.minhap.gob.es/Scripts/know3.exe/tributos/CONSUVIN/texto.htm?NDoc=34315&amp;Consulta=%2EEN+FECHA%2DSALIDA+%28%32%32%2F0%35%2F%320%31%35%29&amp;Pos=3" TargetMode="External"/><Relationship Id="rId124" Type="http://schemas.openxmlformats.org/officeDocument/2006/relationships/hyperlink" Target="http://noticias.juridicas.com/base_datos/Fiscal/l37-1992.t1.html" TargetMode="External"/><Relationship Id="rId310" Type="http://schemas.openxmlformats.org/officeDocument/2006/relationships/hyperlink" Target="http://noticias.juridicas.com/base_datos/Fiscal/l29-1987.html" TargetMode="External"/><Relationship Id="rId70" Type="http://schemas.openxmlformats.org/officeDocument/2006/relationships/hyperlink" Target="https://noticias.juridicas.com/base_datos/Fiscal/r62-rdleg1-1993.t2.html" TargetMode="External"/><Relationship Id="rId91" Type="http://schemas.openxmlformats.org/officeDocument/2006/relationships/hyperlink" Target="http://noticias.juridicas.com/base_datos/Fiscal/l58-2003.t3.html" TargetMode="External"/><Relationship Id="rId145" Type="http://schemas.openxmlformats.org/officeDocument/2006/relationships/hyperlink" Target="https://noticias.juridicas.com/base_datos/CCAA/538599-decreto-legislativo-2-2014-de-22-de-octubre-por-el-que-se-aprueba-el-texto.html" TargetMode="External"/><Relationship Id="rId166" Type="http://schemas.openxmlformats.org/officeDocument/2006/relationships/hyperlink" Target="http://noticias.juridicas.com/base_datos/CCAA/538599-decreto-legislativo-2-2014-de-22-de-octubre-por-el-que-se-aprueba-el-texto.html" TargetMode="External"/><Relationship Id="rId187" Type="http://schemas.openxmlformats.org/officeDocument/2006/relationships/hyperlink" Target="http://noticias.juridicas.com/base_datos/Fiscal/l37-1992.t7.html" TargetMode="External"/><Relationship Id="rId331" Type="http://schemas.openxmlformats.org/officeDocument/2006/relationships/hyperlink" Target="https://noticias.juridicas.com/base_datos/Fiscal/702808-l-11-2021-de-jul-medidas-prevencion-y-lucha-contra-fraude-fiscal-transposicion.html" TargetMode="External"/><Relationship Id="rId352" Type="http://schemas.openxmlformats.org/officeDocument/2006/relationships/hyperlink" Target="https://sede.asturias.es/bopa-disposiciones?p_p_id=pa_sede_bopa_web_portlet_SedeBopaDispositionWeb&amp;p_p_lifecycle=0&amp;_pa_sede_bopa_web_portlet_SedeBopaDispositionWeb_mvcRenderCommandName=%2Fdisposition%2Fdetail&amp;p_r_p_dispositionText=2021-07023&amp;p_r_p_dispositionReference=2021-07023&amp;p_r_p_dispositionDate=27%2F07%2F2021" TargetMode="External"/><Relationship Id="rId1" Type="http://schemas.openxmlformats.org/officeDocument/2006/relationships/numbering" Target="numbering.xml"/><Relationship Id="rId212" Type="http://schemas.openxmlformats.org/officeDocument/2006/relationships/hyperlink" Target="http://noticias.juridicas.com/base_datos/Fiscal/l22-2009.t3.html" TargetMode="External"/><Relationship Id="rId233" Type="http://schemas.openxmlformats.org/officeDocument/2006/relationships/hyperlink" Target="chrome-extension://efaidnbmnnnibpcajpcglclefindmkaj/https:/www.bizkaia.eus/documents/880307/15187815/ca_4_2015.pdf/b6d32212-4007-7fff-588f-207247783372?t=1746431810761" TargetMode="External"/><Relationship Id="rId254" Type="http://schemas.openxmlformats.org/officeDocument/2006/relationships/hyperlink" Target="http://noticias.juridicas.com/base_datos/Fiscal/l29-1987.html" TargetMode="External"/><Relationship Id="rId28" Type="http://schemas.openxmlformats.org/officeDocument/2006/relationships/hyperlink" Target="http://noticias.juridicas.com/base_datos/Fiscal/l20-1990.t5.html" TargetMode="External"/><Relationship Id="rId49" Type="http://schemas.openxmlformats.org/officeDocument/2006/relationships/hyperlink" Target="https://sede.asturias.es/bopa-disposiciones?p_p_id=pa_sede_bopa_web_portlet_SedeBopaDispositionWeb&amp;p_p_lifecycle=0&amp;_pa_sede_bopa_web_portlet_SedeBopaDispositionWeb_mvcRenderCommandName=%2Fdisposition%2Fdetail&amp;p_r_p_dispositionText=2024-11573&amp;p_r_p_dispositionReference=2024-11573&amp;p_r_p_dispositionDate=31%2F12%2F2024" TargetMode="External"/><Relationship Id="rId114" Type="http://schemas.openxmlformats.org/officeDocument/2006/relationships/hyperlink" Target="https://sede.agenciatributaria.gob.es/Sede/ayuda/manuales-videos-folletos/manuales-ayuda-presentacion/irpf-2022/10-cumplimentacion-irpf-deducciones-autonomicas/10_3-principado-asturias/10_3_4-adquisicion-rehabilitacion-zonas-rurales/10_3_4_1-concejos-riesgo-despoblacion.html" TargetMode="External"/><Relationship Id="rId275" Type="http://schemas.openxmlformats.org/officeDocument/2006/relationships/hyperlink" Target="http://noticias.juridicas.com/base_datos/CCAA/538599-decreto-legislativo-2-2014-de-22-de-octubre-por-el-que-se-aprueba-el-texto.html" TargetMode="External"/><Relationship Id="rId296" Type="http://schemas.openxmlformats.org/officeDocument/2006/relationships/hyperlink" Target="http://noticias.juridicas.com/base_datos/Privado/l19-1995.html" TargetMode="External"/><Relationship Id="rId300" Type="http://schemas.openxmlformats.org/officeDocument/2006/relationships/hyperlink" Target="http://noticias.juridicas.com/base_datos/CCAA/538599-decreto-legislativo-2-2014-de-22-de-octubre-por-el-que-se-aprueba-el-texto.html" TargetMode="External"/><Relationship Id="rId60" Type="http://schemas.openxmlformats.org/officeDocument/2006/relationships/hyperlink" Target="http://www.poderjudicial.es/search/openDocument/0a1cee4148bceea3" TargetMode="External"/><Relationship Id="rId81" Type="http://schemas.openxmlformats.org/officeDocument/2006/relationships/hyperlink" Target="https://sede.tributasenasturias.es/sites/sede/default/es_ES/" TargetMode="External"/><Relationship Id="rId135" Type="http://schemas.openxmlformats.org/officeDocument/2006/relationships/hyperlink" Target="https://miprincipado.asturias.es/ast/bopa/disposiciones?p_p_id=pa_sede_bopa_web_portlet_SedeBopaDispositionWeb&amp;p_p_lifecycle=0&amp;_pa_sede_bopa_web_portlet_SedeBopaDispositionWeb_mvcRenderCommandName=%2Fdisposition%2Fdetail&amp;p_r_p_dispositionText=2026-04627&amp;p_r_p_dispositionReference=2026-04627&amp;p_r_p_dispositionDate=09%2F06%2F2026" TargetMode="External"/><Relationship Id="rId156" Type="http://schemas.openxmlformats.org/officeDocument/2006/relationships/hyperlink" Target="https://noticias.juridicas.com/base_datos/CCAA/749669-d-19-2023-de-10-mar-ca-asturias-regula-el-reconocimiento-de-la-condicion.html" TargetMode="External"/><Relationship Id="rId177" Type="http://schemas.openxmlformats.org/officeDocument/2006/relationships/hyperlink" Target="http://noticias.juridicas.com/base_datos/CCAA/538599-decreto-legislativo-2-2014-de-22-de-octubre-por-el-que-se-aprueba-el-texto.html" TargetMode="External"/><Relationship Id="rId198" Type="http://schemas.openxmlformats.org/officeDocument/2006/relationships/hyperlink" Target="http://noticias.juridicas.com/base_datos/CCAA/538599-decreto-legislativo-2-2014-de-22-de-octubre-por-el-que-se-aprueba-el-texto.html" TargetMode="External"/><Relationship Id="rId321" Type="http://schemas.openxmlformats.org/officeDocument/2006/relationships/hyperlink" Target="http://noticias.juridicas.com/base_datos/Fiscal/l35-2006.t6.html" TargetMode="External"/><Relationship Id="rId342" Type="http://schemas.openxmlformats.org/officeDocument/2006/relationships/hyperlink" Target="https://www.ayto-gozon.org/documents/201547/2663997/1.instancia+general.pdf/9c271708-e364-4573-bfae-34f4ec2ab47f" TargetMode="External"/><Relationship Id="rId363" Type="http://schemas.openxmlformats.org/officeDocument/2006/relationships/hyperlink" Target="https://hacienda.gijon.es/multimedia_objects/download?object_id=206264&amp;object_type=document" TargetMode="External"/><Relationship Id="rId202" Type="http://schemas.openxmlformats.org/officeDocument/2006/relationships/hyperlink" Target="http://noticias.juridicas.com/base_datos/CCAA/538599-decreto-legislativo-2-2014-de-22-de-octubre-por-el-que-se-aprueba-el-texto.html" TargetMode="External"/><Relationship Id="rId223" Type="http://schemas.openxmlformats.org/officeDocument/2006/relationships/hyperlink" Target="http://noticias.juridicas.com/base_datos/Fiscal/rd1629-1991.t1.html" TargetMode="External"/><Relationship Id="rId244" Type="http://schemas.openxmlformats.org/officeDocument/2006/relationships/hyperlink" Target="http://noticias.juridicas.com/base_datos/Fiscal/l29-1987.html" TargetMode="External"/><Relationship Id="rId18" Type="http://schemas.openxmlformats.org/officeDocument/2006/relationships/hyperlink" Target="https://petete.minhafp.gob.es/consultas/?num_consulta=V1219-19" TargetMode="External"/><Relationship Id="rId39" Type="http://schemas.openxmlformats.org/officeDocument/2006/relationships/hyperlink" Target="https://sede.asturias.es/portal/site/Asturias/menuitem.1003733838db7342ebc4e191100000f7/?vgnextoid=d7d79d16b61ee010VgnVCM1000000100007fRCRD&amp;fecha=31/12/2008&amp;refArticulo=2008-25602&amp;i18n.http.lang=es" TargetMode="External"/><Relationship Id="rId265" Type="http://schemas.openxmlformats.org/officeDocument/2006/relationships/hyperlink" Target="http://www.registradorescantabria.com/boletines/BIT%20163.pdf" TargetMode="External"/><Relationship Id="rId286" Type="http://schemas.openxmlformats.org/officeDocument/2006/relationships/hyperlink" Target="http://noticias.juridicas.com/base_datos/CCAA/601447-l-7-2017-de-30-jun-ca-asturias-tercera-modificacion-del-texto-refundido-de.html" TargetMode="External"/><Relationship Id="rId50" Type="http://schemas.openxmlformats.org/officeDocument/2006/relationships/hyperlink" Target="https://miprincipado.asturias.es/bopa/disposiciones?p_p_id=pa_sede_bopa_web_portlet_SedeBopaDispositionWeb&amp;p_p_lifecycle=0&amp;_pa_sede_bopa_web_portlet_SedeBopaDispositionWeb_mvcRenderCommandName=%2Fdisposition%2Fdetail&amp;p_r_p_dispositionText=2025-09912&amp;p_r_p_dispositionReference=2025-09912&amp;p_r_p_dispositionDate=02%2F12%2F2025" TargetMode="External"/><Relationship Id="rId104" Type="http://schemas.openxmlformats.org/officeDocument/2006/relationships/hyperlink" Target="http://petete.minhap.gob.es/Scripts/know3.exe/tributos/CONSUVIN/texto.htm?NDoc=37895&amp;Consulta=%2EEN+NUM%2DCONSULTA+%28V0%39%33%34%2D%31%36%29&amp;Pos=0&amp;UD=1" TargetMode="External"/><Relationship Id="rId125" Type="http://schemas.openxmlformats.org/officeDocument/2006/relationships/hyperlink" Target="http://noticias.juridicas.com/base_datos/Fiscal/rdleg1-1993.t2.html" TargetMode="External"/><Relationship Id="rId146" Type="http://schemas.openxmlformats.org/officeDocument/2006/relationships/hyperlink" Target="https://www.boe.es/buscar/doc.php?id=BOPA-a-2023-90366" TargetMode="External"/><Relationship Id="rId167" Type="http://schemas.openxmlformats.org/officeDocument/2006/relationships/hyperlink" Target="https://sede.asturias.es/portal/site/Asturias/menuitem.1003733838db7342ebc4e191100000f7/?vgnextoid=d7d79d16b61ee010VgnVCM1000000100007fRCRD&amp;fecha=31/12/2020&amp;refArticulo=2020-11546&amp;i18n.http.lang=es" TargetMode="External"/><Relationship Id="rId188" Type="http://schemas.openxmlformats.org/officeDocument/2006/relationships/hyperlink" Target="http://noticias.juridicas.com/base_datos/Fiscal/rdleg1-1993.t2.html" TargetMode="External"/><Relationship Id="rId311" Type="http://schemas.openxmlformats.org/officeDocument/2006/relationships/hyperlink" Target="http://noticias.juridicas.com/base_datos/Fiscal/l29-1987.html" TargetMode="External"/><Relationship Id="rId332" Type="http://schemas.openxmlformats.org/officeDocument/2006/relationships/hyperlink" Target="https://noticias.juridicas.com/base_datos/Fiscal/l19-1991.html" TargetMode="External"/><Relationship Id="rId353" Type="http://schemas.openxmlformats.org/officeDocument/2006/relationships/hyperlink" Target="chrome-extension://efaidnbmnnnibpcajpcglclefindmkaj/https:/miprincipado.asturias.es/bopa/2025/08/25/2025-06955.pdf" TargetMode="External"/><Relationship Id="rId71" Type="http://schemas.openxmlformats.org/officeDocument/2006/relationships/hyperlink" Target="https://noticias.juridicas.com/base_datos/Fiscal/l29-1987.html" TargetMode="External"/><Relationship Id="rId92" Type="http://schemas.openxmlformats.org/officeDocument/2006/relationships/hyperlink" Target="http://www.notariosyregistradores.com/consultas-DGTr/2013-MAYO.htm" TargetMode="External"/><Relationship Id="rId213" Type="http://schemas.openxmlformats.org/officeDocument/2006/relationships/hyperlink" Target="http://petete.meh.es/Scripts/know3.exe/tributos/CONSUVIN/texto.htm?NDoc=8518&amp;Consulta=donaci%F3n+onerosa&amp;Pos=0" TargetMode="External"/><Relationship Id="rId234" Type="http://schemas.openxmlformats.org/officeDocument/2006/relationships/hyperlink" Target="chrome-extension://efaidnbmnnnibpcajpcglclefindmkaj/https:/www.gipuzkoa.eus/documents/2456431/2847867/NF+2-2022+%282025%29.pdf/1cee10a6-b9b2-a684-a2af-5a5cd3ad5445?t=1747374346843" TargetMode="External"/><Relationship Id="rId2" Type="http://schemas.openxmlformats.org/officeDocument/2006/relationships/styles" Target="styles.xml"/><Relationship Id="rId29" Type="http://schemas.openxmlformats.org/officeDocument/2006/relationships/hyperlink" Target="http://noticias.juridicas.com/base_datos/Fiscal/l20-1990.t4.html" TargetMode="External"/><Relationship Id="rId255" Type="http://schemas.openxmlformats.org/officeDocument/2006/relationships/hyperlink" Target="http://petete.minhap.es/Scripts/know3.exe/tributos/CONSUVIN/texto.htm?NDoc=25334&amp;Consulta=%2EEN+FECHA%2DSALIDA+%280%36%2F0%32%2F%320%31%33%29&amp;Pos=1" TargetMode="External"/><Relationship Id="rId276" Type="http://schemas.openxmlformats.org/officeDocument/2006/relationships/hyperlink" Target="http://noticias.juridicas.com/base_datos/Privado/l19-1995.html" TargetMode="External"/><Relationship Id="rId297" Type="http://schemas.openxmlformats.org/officeDocument/2006/relationships/hyperlink" Target="http://noticias.juridicas.com/base_datos/CCAA/538599-decreto-legislativo-2-2014-de-22-de-octubre-por-el-que-se-aprueba-el-texto.html" TargetMode="External"/><Relationship Id="rId40" Type="http://schemas.openxmlformats.org/officeDocument/2006/relationships/hyperlink" Target="https://sede.asturias.es/portal/site/Asturias/menuitem.1003733838db7342ebc4e191100000f7/?vgnextoid=d7d79d16b61ee010VgnVCM1000000100007fRCRD&amp;fecha=14/07/2010&amp;refArticulo=2010-15855&amp;i18n.http.lang=es" TargetMode="External"/><Relationship Id="rId115" Type="http://schemas.openxmlformats.org/officeDocument/2006/relationships/hyperlink" Target="https://noticias.juridicas.com/base_datos/CCAA/965198-decreto-presidencia-reto-demografico-igualdad-y-turismo-83-2025-23-jun.html" TargetMode="External"/><Relationship Id="rId136" Type="http://schemas.openxmlformats.org/officeDocument/2006/relationships/hyperlink" Target="https://www.boe.es/diario_boe/txt.php?id=BOE-A-2026-16532" TargetMode="External"/><Relationship Id="rId157" Type="http://schemas.openxmlformats.org/officeDocument/2006/relationships/hyperlink" Target="https://noticias.juridicas.com/base_datos/CCAA/538599-decreto-legislativo-2-2014-de-22-de-octubre-por-el-que-se-aprueba-el-texto.html" TargetMode="External"/><Relationship Id="rId178" Type="http://schemas.openxmlformats.org/officeDocument/2006/relationships/hyperlink" Target="http://noticias.juridicas.com/base_datos/CCAA/538599-decreto-legislativo-2-2014-de-22-de-octubre-por-el-que-se-aprueba-el-texto.html" TargetMode="External"/><Relationship Id="rId301" Type="http://schemas.openxmlformats.org/officeDocument/2006/relationships/hyperlink" Target="http://noticias.juridicas.com/base_datos/CCAA/601447-l-7-2017-de-30-jun-ca-asturias-tercera-modificacion-del-texto-refundido-de.html" TargetMode="External"/><Relationship Id="rId322" Type="http://schemas.openxmlformats.org/officeDocument/2006/relationships/hyperlink" Target="https://noticias.juridicas.com/base_datos/Fiscal/685118-l-11-2020-de-30-dic-de-presupuestos-generales-del-estado-para-el-ano-2021.html" TargetMode="External"/><Relationship Id="rId343" Type="http://schemas.openxmlformats.org/officeDocument/2006/relationships/hyperlink" Target="https://sedelectronica.ayto-gozon.com/action/tramitacion?method=enter&amp;id=3008" TargetMode="External"/><Relationship Id="rId364" Type="http://schemas.openxmlformats.org/officeDocument/2006/relationships/hyperlink" Target="https://hacienda.gijon.es/multimedia_objects/download?object_id=206264&amp;object_type=document" TargetMode="External"/><Relationship Id="rId61" Type="http://schemas.openxmlformats.org/officeDocument/2006/relationships/hyperlink" Target="http://www.poderjudicial.es/search/contenidos.action?action=contentpdf&amp;databasematch=TS&amp;reference=8750827&amp;statsQueryId=111355011&amp;calledfrom=searchresults&amp;links=&amp;optimize=20190506&amp;publicinterface=true" TargetMode="External"/><Relationship Id="rId82" Type="http://schemas.openxmlformats.org/officeDocument/2006/relationships/hyperlink" Target="https://docs.google.com/viewer?a=v&amp;pid=sites&amp;srcid=ZGVmYXVsdGRvbWFpbnxsZXZhbnRlbm90fGd4OjIwMGQ0OWE4N2NjMjAxMWU" TargetMode="External"/><Relationship Id="rId199" Type="http://schemas.openxmlformats.org/officeDocument/2006/relationships/hyperlink" Target="http://noticias.juridicas.com/base_datos/CCAA/634861-l-14-2018-28-de-dic-ca-asturias-de-presupuestos-generales-para-2019.html" TargetMode="External"/><Relationship Id="rId203" Type="http://schemas.openxmlformats.org/officeDocument/2006/relationships/hyperlink" Target="http://noticias.juridicas.com/base_datos/CCAA/538599-decreto-legislativo-2-2014-de-22-de-octubre-por-el-que-se-aprueba-el-texto.html" TargetMode="External"/><Relationship Id="rId19" Type="http://schemas.openxmlformats.org/officeDocument/2006/relationships/hyperlink" Target="http://www.poderjudicial.es/search/AN/openDocument/d5a3a2133e9d3be6/20210208" TargetMode="External"/><Relationship Id="rId224" Type="http://schemas.openxmlformats.org/officeDocument/2006/relationships/hyperlink" Target="https://noticias.juridicas.com/base_datos/Fiscal/l29-1987.html" TargetMode="External"/><Relationship Id="rId245" Type="http://schemas.openxmlformats.org/officeDocument/2006/relationships/hyperlink" Target="http://noticias.juridicas.com/base_datos/CCAA/r4-538599-decreto-legislativo-2-2014-de-22-de-octubre-por-el-que-se-aprueba-el-texto.html" TargetMode="External"/><Relationship Id="rId266" Type="http://schemas.openxmlformats.org/officeDocument/2006/relationships/hyperlink" Target="http://curia.europa.eu/juris/document/document.jsf?text=&amp;docid=157285&amp;pageIndex=0&amp;doclang=es&amp;mode=req&amp;dir=&amp;occ=first&amp;part=1&amp;cid=225401" TargetMode="External"/><Relationship Id="rId287" Type="http://schemas.openxmlformats.org/officeDocument/2006/relationships/hyperlink" Target="http://noticias.juridicas.com/base_datos/CCAA/538599-decreto-legislativo-2-2014-de-22-de-octubre-por-el-que-se-aprueba-el-texto.html" TargetMode="External"/><Relationship Id="rId30" Type="http://schemas.openxmlformats.org/officeDocument/2006/relationships/hyperlink" Target="http://noticias.juridicas.com/base_datos/Fiscal/l20-1990.t5.html" TargetMode="External"/><Relationship Id="rId105" Type="http://schemas.openxmlformats.org/officeDocument/2006/relationships/hyperlink" Target="https://petete.tributos.hacienda.gob.es/consultas/?num_consulta=V0722-13" TargetMode="External"/><Relationship Id="rId126" Type="http://schemas.openxmlformats.org/officeDocument/2006/relationships/hyperlink" Target="http://noticias.juridicas.com/base_datos/CCAA/538599-decreto-legislativo-2-2014-de-22-de-octubre-por-el-que-se-aprueba-el-texto.html" TargetMode="External"/><Relationship Id="rId147" Type="http://schemas.openxmlformats.org/officeDocument/2006/relationships/hyperlink" Target="https://sede.asturias.es/bopa-disposiciones?p_p_id=pa_sede_bopa_web_portlet_SedeBopaDispositionWeb&amp;p_p_lifecycle=0&amp;_pa_sede_bopa_web_portlet_SedeBopaDispositionWeb_mvcRenderCommandName=%2Fdisposition%2Fdetail&amp;p_r_p_dispositionText=2021-11414&amp;p_r_p_dispositionReference=2021-11414&amp;p_r_p_dispositionDate=31%2F12%2F2021" TargetMode="External"/><Relationship Id="rId168" Type="http://schemas.openxmlformats.org/officeDocument/2006/relationships/hyperlink" Target="http://noticias.juridicas.com/base_datos/CCAA/538599-decreto-legislativo-2-2014-de-22-de-octubre-por-el-que-se-aprueba-el-texto.html" TargetMode="External"/><Relationship Id="rId312" Type="http://schemas.openxmlformats.org/officeDocument/2006/relationships/hyperlink" Target="http://noticias.juridicas.com/base_datos/Fiscal/l29-1987.html" TargetMode="External"/><Relationship Id="rId333" Type="http://schemas.openxmlformats.org/officeDocument/2006/relationships/hyperlink" Target="https://sede.tributasenasturias.es/sede/Servicios/Simulador+Plusvalias+IIVTNU?pt_accion=S&amp;pt_modelo=500" TargetMode="External"/><Relationship Id="rId354" Type="http://schemas.openxmlformats.org/officeDocument/2006/relationships/hyperlink" Target="https://www.oviedo.es/documents/25047/25321/ORDENANZA+N%C2%BA+404+PLUSVAL%C3%8DA.pdf/0bba66cb-5fb2-4963-9d3a-3b8b1ed8f19c" TargetMode="External"/><Relationship Id="rId51" Type="http://schemas.openxmlformats.org/officeDocument/2006/relationships/hyperlink" Target="https://noticias.juridicas.com/base_datos/CCAA/983249-ley-junta-general-5-2025-31-dic-ca-asturias-presupuestos-generales-para.html" TargetMode="External"/><Relationship Id="rId72" Type="http://schemas.openxmlformats.org/officeDocument/2006/relationships/hyperlink" Target="https://noticias.juridicas.com/base_datos/Fiscal/l19-1991.html" TargetMode="External"/><Relationship Id="rId93" Type="http://schemas.openxmlformats.org/officeDocument/2006/relationships/hyperlink" Target="http://noticias.juridicas.com/base_datos/Fiscal/l58-2003.t3.html" TargetMode="External"/><Relationship Id="rId189" Type="http://schemas.openxmlformats.org/officeDocument/2006/relationships/hyperlink" Target="http://noticias.juridicas.com/base_datos/Fiscal/l37-1992.t1.html" TargetMode="External"/><Relationship Id="rId3" Type="http://schemas.openxmlformats.org/officeDocument/2006/relationships/settings" Target="settings.xml"/><Relationship Id="rId214" Type="http://schemas.openxmlformats.org/officeDocument/2006/relationships/hyperlink" Target="http://petete.meh.es/Scripts/know3.exe/tributos/CONSUVIN/texto.htm?NDoc=11704&amp;Consulta=donaci%F3n+onerosa&amp;Pos=1" TargetMode="External"/><Relationship Id="rId235" Type="http://schemas.openxmlformats.org/officeDocument/2006/relationships/hyperlink" Target="http://noticias.juridicas.com/base_datos/CCAA/538599-decreto-legislativo-2-2014-de-22-de-octubre-por-el-que-se-aprueba-el-texto.html" TargetMode="External"/><Relationship Id="rId256" Type="http://schemas.openxmlformats.org/officeDocument/2006/relationships/hyperlink" Target="http://www.tribunalconstitucional.es/es/jurisprudencia/Paginas/Sentencia.aspx?cod=21238" TargetMode="External"/><Relationship Id="rId277" Type="http://schemas.openxmlformats.org/officeDocument/2006/relationships/hyperlink" Target="http://noticias.juridicas.com/base_datos/CCAA/538599-decreto-legislativo-2-2014-de-22-de-octubre-por-el-que-se-aprueba-el-texto.html" TargetMode="External"/><Relationship Id="rId298" Type="http://schemas.openxmlformats.org/officeDocument/2006/relationships/hyperlink" Target="http://noticias.juridicas.com/base_datos/CCAA/601447-l-7-2017-de-30-jun-ca-asturias-tercera-modificacion-del-texto-refundido-de.html" TargetMode="External"/><Relationship Id="rId116" Type="http://schemas.openxmlformats.org/officeDocument/2006/relationships/hyperlink" Target="https://noticias.juridicas.com/base_datos/CCAA/538599-decreto-legislativo-2-2014-de-22-de-octubre-por-el-que-se-aprueba-el-texto.html" TargetMode="External"/><Relationship Id="rId137" Type="http://schemas.openxmlformats.org/officeDocument/2006/relationships/hyperlink" Target="https://actualidad.asturias.es/-/guiatensionadas2508" TargetMode="External"/><Relationship Id="rId158" Type="http://schemas.openxmlformats.org/officeDocument/2006/relationships/hyperlink" Target="https://www.boe.es/buscar/doc.php?id=BOPA-a-2023-90366" TargetMode="External"/><Relationship Id="rId302" Type="http://schemas.openxmlformats.org/officeDocument/2006/relationships/hyperlink" Target="http://noticias.juridicas.com/base_datos/CCAA/538599-decreto-legislativo-2-2014-de-22-de-octubre-por-el-que-se-aprueba-el-texto.html" TargetMode="External"/><Relationship Id="rId323" Type="http://schemas.openxmlformats.org/officeDocument/2006/relationships/hyperlink" Target="http://noticias.juridicas.com/base_datos/Fiscal/l35-2006.t3.html" TargetMode="External"/><Relationship Id="rId344" Type="http://schemas.openxmlformats.org/officeDocument/2006/relationships/hyperlink" Target="https://sede.asturias.es/bopa-disposiciones?p_p_id=pa_sede_bopa_web_portlet_SedeBopaDispositionWeb&amp;p_p_lifecycle=0&amp;_pa_sede_bopa_web_portlet_SedeBopaDispositionWeb_mvcRenderCommandName=%2Fdisposition%2Fdetail&amp;p_r_p_dispositionText=2021-03084&amp;p_r_p_dispositionReference=2021-03084&amp;p_r_p_dispositionDate=13%2F04%2F2021" TargetMode="External"/><Relationship Id="rId20" Type="http://schemas.openxmlformats.org/officeDocument/2006/relationships/hyperlink" Target="https://www.tributasenasturias.es/imgvcm/stpa/PDF/Ficheros/Normativa/Decreto1212013.pdf" TargetMode="External"/><Relationship Id="rId41" Type="http://schemas.openxmlformats.org/officeDocument/2006/relationships/hyperlink" Target="http://noticias.juridicas.com/base_datos/CCAA/538599-decreto-legislativo-2-2014-de-22-de-octubre-por-el-que-se-aprueba-el-texto.html" TargetMode="External"/><Relationship Id="rId62" Type="http://schemas.openxmlformats.org/officeDocument/2006/relationships/hyperlink" Target="https://www.tributasenasturias.es/imgvcm/stpa/PDF/Ficheros/Normativa/Decreto1212013.pdf" TargetMode="External"/><Relationship Id="rId83" Type="http://schemas.openxmlformats.org/officeDocument/2006/relationships/hyperlink" Target="https://sede.tributasenasturias.es/sede/Servicios/Programa+de+Ayudas" TargetMode="External"/><Relationship Id="rId179" Type="http://schemas.openxmlformats.org/officeDocument/2006/relationships/hyperlink" Target="http://noticias.juridicas.com/base_datos/Fiscal/l37-1992.t2.html" TargetMode="External"/><Relationship Id="rId365" Type="http://schemas.openxmlformats.org/officeDocument/2006/relationships/hyperlink" Target="https://hacienda.gijon.es/multimedia_objects/download?object_id=206264&amp;object_type=document" TargetMode="External"/><Relationship Id="rId190" Type="http://schemas.openxmlformats.org/officeDocument/2006/relationships/hyperlink" Target="http://noticias.juridicas.com/base_datos/CCAA/an-dleg1-2009.t2.html" TargetMode="External"/><Relationship Id="rId204" Type="http://schemas.openxmlformats.org/officeDocument/2006/relationships/hyperlink" Target="http://noticias.juridicas.com/base_datos/CCAA/538599-decreto-legislativo-2-2014-de-22-de-octubre-por-el-que-se-aprueba-el-texto.html" TargetMode="External"/><Relationship Id="rId225" Type="http://schemas.openxmlformats.org/officeDocument/2006/relationships/hyperlink" Target="https://noticias.juridicas.com/base_datos/Fiscal/l29-1987.html" TargetMode="External"/><Relationship Id="rId246" Type="http://schemas.openxmlformats.org/officeDocument/2006/relationships/hyperlink" Target="http://noticias.juridicas.com/base_datos/Fiscal/l22-2009.t3.html" TargetMode="External"/><Relationship Id="rId267" Type="http://schemas.openxmlformats.org/officeDocument/2006/relationships/hyperlink" Target="http://www.poderjudicial.es/search/contenidos.action?action=contentpdf&amp;databasematch=TS&amp;reference=8307752&amp;links=&amp;optimize=20180305&amp;publicinterface=true" TargetMode="External"/><Relationship Id="rId288" Type="http://schemas.openxmlformats.org/officeDocument/2006/relationships/hyperlink" Target="http://noticias.juridicas.com/base_datos/Fiscal/l29-1987.html" TargetMode="External"/><Relationship Id="rId106" Type="http://schemas.openxmlformats.org/officeDocument/2006/relationships/hyperlink" Target="https://petete.tributos.hacienda.gob.es/consultas/?num_consulta=V2735-07" TargetMode="External"/><Relationship Id="rId127" Type="http://schemas.openxmlformats.org/officeDocument/2006/relationships/hyperlink" Target="https://noticias.juridicas.com/base_datos/CCAA/538599-decreto-legislativo-2-2014-de-22-de-octubre-por-el-que-se-aprueba-el-texto.html" TargetMode="External"/><Relationship Id="rId313" Type="http://schemas.openxmlformats.org/officeDocument/2006/relationships/hyperlink" Target="https://sede.asturias.es/portal/site/Asturias/menuitem.1003733838db7342ebc4e191100000f7/?vgnextoid=d7d79d16b61ee010VgnVCM1000000100007fRCRD&amp;fecha=31/12/2003&amp;refArticulo=2003-2231002&amp;i18n.http.lang=es" TargetMode="External"/><Relationship Id="rId10" Type="http://schemas.openxmlformats.org/officeDocument/2006/relationships/hyperlink" Target="https://noticias.juridicas.com/base_datos/Fiscal/rd828-1995.t6.html" TargetMode="External"/><Relationship Id="rId31" Type="http://schemas.openxmlformats.org/officeDocument/2006/relationships/hyperlink" Target="http://noticias.juridicas.com/base_datos/Fiscal/r49-rdleg1-1993.t5.html" TargetMode="External"/><Relationship Id="rId52" Type="http://schemas.openxmlformats.org/officeDocument/2006/relationships/hyperlink" Target="https://www.tributasenasturias.es/imgvcm/stpa/PDF/Ficheros/Normativa/LeySTPA.pdf" TargetMode="External"/><Relationship Id="rId73" Type="http://schemas.openxmlformats.org/officeDocument/2006/relationships/hyperlink" Target="https://noticias.juridicas.com/base_datos/Fiscal/rdleg1-1993.t2.html" TargetMode="External"/><Relationship Id="rId94" Type="http://schemas.openxmlformats.org/officeDocument/2006/relationships/hyperlink" Target="http://noticias.juridicas.com/base_datos/CCAA/as-l4-2002.html" TargetMode="External"/><Relationship Id="rId148" Type="http://schemas.openxmlformats.org/officeDocument/2006/relationships/hyperlink" Target="https://sede.asturias.es/ast/bopa-disposiciones?p_p_id=pa_sede_bopa_web_portlet_SedeBopaDispositionWeb&amp;p_p_lifecycle=0&amp;_pa_sede_bopa_web_portlet_SedeBopaDispositionWeb_mvcRenderCommandName=%2Fdisposition%2Fdetail&amp;p_r_p_dispositionText=2020-10187&amp;p_r_p_dispositionReference=2020-10187&amp;p_r_p_dispositionDate=15%2F12%2F2020" TargetMode="External"/><Relationship Id="rId169" Type="http://schemas.openxmlformats.org/officeDocument/2006/relationships/hyperlink" Target="http://noticias.juridicas.com/base_datos/Fiscal/l19-1991.html" TargetMode="External"/><Relationship Id="rId334" Type="http://schemas.openxmlformats.org/officeDocument/2006/relationships/hyperlink" Target="https://www.tributasenasturias.es/sites/stpa/default/es_ES/Ayuntamientos/Convenios-de-Delegacion" TargetMode="External"/><Relationship Id="rId355" Type="http://schemas.openxmlformats.org/officeDocument/2006/relationships/hyperlink" Target="https://www.oviedo.es/documents/12103/f9e08d31-bb8b-400f-8a0e-a469947bbb74" TargetMode="External"/><Relationship Id="rId4" Type="http://schemas.openxmlformats.org/officeDocument/2006/relationships/webSettings" Target="webSettings.xml"/><Relationship Id="rId180" Type="http://schemas.openxmlformats.org/officeDocument/2006/relationships/hyperlink" Target="http://noticias.juridicas.com/base_datos/Fiscal/l37-1992.t2.html" TargetMode="External"/><Relationship Id="rId215" Type="http://schemas.openxmlformats.org/officeDocument/2006/relationships/hyperlink" Target="http://noticias.juridicas.com/base_datos/Fiscal/rdleg5-2004.html" TargetMode="External"/><Relationship Id="rId236" Type="http://schemas.openxmlformats.org/officeDocument/2006/relationships/hyperlink" Target="http://noticias.juridicas.com/base_datos/CCAA/538599-decreto-legislativo-2-2014-de-22-de-octubre-por-el-que-se-aprueba-el-texto.html" TargetMode="External"/><Relationship Id="rId257" Type="http://schemas.openxmlformats.org/officeDocument/2006/relationships/hyperlink" Target="http://www.tribunalconstitucional.es/es/jurisprudencia/Paginas/Sentencia.aspx?cod=21238" TargetMode="External"/><Relationship Id="rId278" Type="http://schemas.openxmlformats.org/officeDocument/2006/relationships/hyperlink" Target="http://noticias.juridicas.com/base_datos/Fiscal/l19-1991.html" TargetMode="External"/><Relationship Id="rId303" Type="http://schemas.openxmlformats.org/officeDocument/2006/relationships/hyperlink" Target="https://sede.asturias.es/portal/site/Asturias/menuitem.1003733838db7342ebc4e191100000f7/?vgnextoid=d7d79d16b61ee010VgnVCM1000000100007fRCRD&amp;fecha=14/07/2010&amp;refArticulo=2010-15855&amp;i18n.http.lang=es" TargetMode="External"/><Relationship Id="rId42" Type="http://schemas.openxmlformats.org/officeDocument/2006/relationships/hyperlink" Target="http://noticias.juridicas.com/base_datos/CCAA/588320-l-6-2016-de-30-dic-ca-astuiras-de-presupuestos-generales-para-2017.html" TargetMode="External"/><Relationship Id="rId84" Type="http://schemas.openxmlformats.org/officeDocument/2006/relationships/hyperlink" Target="mailto:sucesiones@tributas.es" TargetMode="External"/><Relationship Id="rId138" Type="http://schemas.openxmlformats.org/officeDocument/2006/relationships/hyperlink" Target="chrome-extension://efaidnbmnnnibpcajpcglclefindmkaj/https:/aplicacions.economia.gencat.cat/ecodif/rest/file/download?id=164937&amp;lang=Ca" TargetMode="External"/><Relationship Id="rId345" Type="http://schemas.openxmlformats.org/officeDocument/2006/relationships/hyperlink" Target="https://sede.asturias.es/bopa/2025/01/31/2025-00509.pdf" TargetMode="External"/><Relationship Id="rId191" Type="http://schemas.openxmlformats.org/officeDocument/2006/relationships/hyperlink" Target="http://noticias.juridicas.com/base_datos/CCAA/538599-decreto-legislativo-2-2014-de-22-de-octubre-por-el-que-se-aprueba-el-texto.html" TargetMode="External"/><Relationship Id="rId205" Type="http://schemas.openxmlformats.org/officeDocument/2006/relationships/hyperlink" Target="https://hj.tribunalconstitucional.es/es/Resolucion/Show/32068" TargetMode="External"/><Relationship Id="rId247" Type="http://schemas.openxmlformats.org/officeDocument/2006/relationships/hyperlink" Target="http://noticias.juridicas.com/base_datos/Fiscal/l22-2009.t3.html" TargetMode="External"/><Relationship Id="rId107" Type="http://schemas.openxmlformats.org/officeDocument/2006/relationships/hyperlink" Target="https://sede.asturias.es/portal/site/Asturias/menuitem.1003733838db7342ebc4e191100000f7/?vgnextoid=d7d79d16b61ee010VgnVCM1000000100007fRCRD&amp;fecha=31/12/2002&amp;refArticulo=2002-2231003&amp;i18n.http.lang=es" TargetMode="External"/><Relationship Id="rId289" Type="http://schemas.openxmlformats.org/officeDocument/2006/relationships/hyperlink" Target="http://noticias.juridicas.com/base_datos/CCAA/601447-l-7-2017-de-30-jun-ca-asturias-tercera-modificacion-del-texto-refundido-de.html" TargetMode="External"/><Relationship Id="rId11" Type="http://schemas.openxmlformats.org/officeDocument/2006/relationships/hyperlink" Target="https://noticias.juridicas.com/base_datos/Fiscal/rd1629-1991.t2.html" TargetMode="External"/><Relationship Id="rId53" Type="http://schemas.openxmlformats.org/officeDocument/2006/relationships/hyperlink" Target="https://www.tributasenasturias.es/imgvcm/stpa/PDF/Ficheros/Normativa/DecretoSTPA.pdf" TargetMode="External"/><Relationship Id="rId149" Type="http://schemas.openxmlformats.org/officeDocument/2006/relationships/hyperlink" Target="https://www.boe.es/buscar/doc.php?id=BOPA-a-2023-90366" TargetMode="External"/><Relationship Id="rId314" Type="http://schemas.openxmlformats.org/officeDocument/2006/relationships/hyperlink" Target="http://noticias.juridicas.com/base_datos/Fiscal/l29-1987.html" TargetMode="External"/><Relationship Id="rId356" Type="http://schemas.openxmlformats.org/officeDocument/2006/relationships/hyperlink" Target="https://www.oviedo.es/documents/25047/25321/ORDENANZA+N%C2%BA+404+PLUSVAL%C3%8DA.pdf/0bba66cb-5fb2-4963-9d3a-3b8b1ed8f19c" TargetMode="External"/><Relationship Id="rId95" Type="http://schemas.openxmlformats.org/officeDocument/2006/relationships/hyperlink" Target="https://sede.asturias.es/bopa/disposiciones/repositorio/LEGISLACION14/66/2/AA3201E34F2645E398D33CBA2A416585.pdf" TargetMode="External"/><Relationship Id="rId160" Type="http://schemas.openxmlformats.org/officeDocument/2006/relationships/hyperlink" Target="https://www.boe.es/buscar/doc.php?id=BOPA-a-2023-90366" TargetMode="External"/><Relationship Id="rId216" Type="http://schemas.openxmlformats.org/officeDocument/2006/relationships/hyperlink" Target="https://noticias.juridicas.com/base_datos/Fiscal/l35-2006.t3.html" TargetMode="External"/><Relationship Id="rId258" Type="http://schemas.openxmlformats.org/officeDocument/2006/relationships/hyperlink" Target="http://www.registradorescantabria.com/boletines/BIT%20163.pdf" TargetMode="External"/><Relationship Id="rId22" Type="http://schemas.openxmlformats.org/officeDocument/2006/relationships/hyperlink" Target="https://www.boe.es/boe/dias/2018/11/09/pdfs/BOE-A-2018-15344.pdf" TargetMode="External"/><Relationship Id="rId64" Type="http://schemas.openxmlformats.org/officeDocument/2006/relationships/hyperlink" Target="https://sedemovil.asturias.es/bopa/2015/12/31/2015-17993.pdf" TargetMode="External"/><Relationship Id="rId118" Type="http://schemas.openxmlformats.org/officeDocument/2006/relationships/hyperlink" Target="https://www.boe.es/buscar/act.php?id=BOE-A-2003-21052&amp;p=20230509&amp;tn=2" TargetMode="External"/><Relationship Id="rId325" Type="http://schemas.openxmlformats.org/officeDocument/2006/relationships/hyperlink" Target="http://www.boe.es/boe/dias/2000/12/14/pdfs/A43693-43709.pdf" TargetMode="External"/><Relationship Id="rId367" Type="http://schemas.openxmlformats.org/officeDocument/2006/relationships/hyperlink" Target="https://www.oviedo.es/web/notarios" TargetMode="External"/><Relationship Id="rId171" Type="http://schemas.openxmlformats.org/officeDocument/2006/relationships/hyperlink" Target="http://noticias.juridicas.com/base_datos/CCAA/538599-decreto-legislativo-2-2014-de-22-de-octubre-por-el-que-se-aprueba-el-texto.html" TargetMode="External"/><Relationship Id="rId227" Type="http://schemas.openxmlformats.org/officeDocument/2006/relationships/hyperlink" Target="https://noticias.juridicas.com/base_datos/Fiscal/l29-1987.html" TargetMode="External"/><Relationship Id="rId269" Type="http://schemas.openxmlformats.org/officeDocument/2006/relationships/hyperlink" Target="http://boe.es/boe/dias/2014/07/03/pdfs/BOE-A-2014-6983.pdf" TargetMode="External"/><Relationship Id="rId33" Type="http://schemas.openxmlformats.org/officeDocument/2006/relationships/hyperlink" Target="http://www.registradores.org/wp-content/revista/bitplus/pdf/BITplus_230.pdf" TargetMode="External"/><Relationship Id="rId129" Type="http://schemas.openxmlformats.org/officeDocument/2006/relationships/hyperlink" Target="http://noticias.juridicas.com/base_datos/CCAA/538599-decreto-legislativo-2-2014-de-22-de-octubre-por-el-que-se-aprueba-el-texto.html" TargetMode="External"/><Relationship Id="rId280" Type="http://schemas.openxmlformats.org/officeDocument/2006/relationships/hyperlink" Target="http://noticias.juridicas.com/base_datos/Fiscal/rd1629-1991.t2.html" TargetMode="External"/><Relationship Id="rId336" Type="http://schemas.openxmlformats.org/officeDocument/2006/relationships/hyperlink" Target="https://sede.asturias.es/portal/site/Asturias/menuitem.1003733838db7342ebc4e191100000f7/?vgnextoid=d7d79d16b61ee010VgnVCM1000000100007fRCRD&amp;fecha=16/05/2019&amp;refArticulo=2019-04818&amp;i18n.http.lang=es" TargetMode="External"/><Relationship Id="rId75" Type="http://schemas.openxmlformats.org/officeDocument/2006/relationships/hyperlink" Target="https://www.sedecatastro.gob.es/Accesos/SECAccDNI.aspx?Dest=50&amp;ejercicio=2022" TargetMode="External"/><Relationship Id="rId140" Type="http://schemas.openxmlformats.org/officeDocument/2006/relationships/hyperlink" Target="https://www.notariosyregistradores.com/web/secciones/oficina-notarial/varios/el-concepto-fiscal-de-gran-tenedor-en-cataluna/" TargetMode="External"/><Relationship Id="rId182" Type="http://schemas.openxmlformats.org/officeDocument/2006/relationships/hyperlink" Target="http://noticias.juridicas.com/base_datos/Fiscal/l37-1992.t2.html" TargetMode="External"/><Relationship Id="rId6" Type="http://schemas.openxmlformats.org/officeDocument/2006/relationships/endnotes" Target="endnotes.xml"/><Relationship Id="rId238" Type="http://schemas.openxmlformats.org/officeDocument/2006/relationships/hyperlink" Target="http://noticias.juridicas.com/base_datos/CCAA/r4-538599-decreto-legislativo-2-2014-de-22-de-octubre-por-el-que-se-aprueba-el-texto.html" TargetMode="External"/><Relationship Id="rId291" Type="http://schemas.openxmlformats.org/officeDocument/2006/relationships/hyperlink" Target="http://noticias.juridicas.com/base_datos/CCAA/601447-l-7-2017-de-30-jun-ca-asturias-tercera-modificacion-del-texto-refundido-de.html" TargetMode="External"/><Relationship Id="rId305" Type="http://schemas.openxmlformats.org/officeDocument/2006/relationships/hyperlink" Target="http://noticias.juridicas.com/base_datos/CCAA/538599-decreto-legislativo-2-2014-de-22-de-octubre-por-el-que-se-aprueba-el-texto.html" TargetMode="External"/><Relationship Id="rId347" Type="http://schemas.openxmlformats.org/officeDocument/2006/relationships/hyperlink" Target="https://sede.asturias.es/ast/bopa-disposiciones?p_p_id=pa_sede_bopa_web_portlet_SedeBopaDispositionWeb&amp;p_p_lifecycle=0&amp;_pa_sede_bopa_web_portlet_SedeBopaDispositionWeb_mvcRenderCommandName=%2Fdisposition%2Fdetail&amp;p_r_p_dispositionText=2023-03522&amp;p_r_p_dispositionReference=2023-03522&amp;p_r_p_dispositionDate=08%2F05%2F2023" TargetMode="External"/><Relationship Id="rId44" Type="http://schemas.openxmlformats.org/officeDocument/2006/relationships/hyperlink" Target="http://noticias.juridicas.com/base_datos/CCAA/634861-l-14-2018-28-de-dic-ca-asturias-de-presupuestos-generales-para-2019.html" TargetMode="External"/><Relationship Id="rId86" Type="http://schemas.openxmlformats.org/officeDocument/2006/relationships/hyperlink" Target="http://noticias.juridicas.com/base_datos/CCAA/538599-decreto-legislativo-2-2014-de-22-de-octubre-por-el-que-se-aprueba-el-texto.html" TargetMode="External"/><Relationship Id="rId151" Type="http://schemas.openxmlformats.org/officeDocument/2006/relationships/hyperlink" Target="chrome-extension://efaidnbmnnnibpcajpcglclefindmkaj/https:/miprincipado.asturias.es/bopa/2025/12/31/20251231Su1.pdf" TargetMode="External"/><Relationship Id="rId193" Type="http://schemas.openxmlformats.org/officeDocument/2006/relationships/hyperlink" Target="http://noticias.juridicas.com/base_datos/CCAA/538599-decreto-legislativo-2-2014-de-22-de-octubre-por-el-que-se-aprueba-el-texto.html" TargetMode="External"/><Relationship Id="rId207" Type="http://schemas.openxmlformats.org/officeDocument/2006/relationships/hyperlink" Target="https://sede.asturias.es/bopa-disposiciones?p_p_id=pa_sede_bopa_web_portlet_SedeBopaDispositionWeb&amp;p_p_lifecycle=0&amp;_pa_sede_bopa_web_portlet_SedeBopaDispositionWeb_mvcRenderCommandName=%2Fdisposition%2Fdetail&amp;p_r_p_dispositionText=2024-11573&amp;p_r_p_dispositionReference=2024-11573&amp;p_r_p_dispositionDate=31%2F12%2F2024" TargetMode="External"/><Relationship Id="rId249" Type="http://schemas.openxmlformats.org/officeDocument/2006/relationships/hyperlink" Target="https://www.poderjudicial.es/search/AN/openDocument/4b68724b0583377a/20090408" TargetMode="External"/><Relationship Id="rId13" Type="http://schemas.openxmlformats.org/officeDocument/2006/relationships/hyperlink" Target="https://miprincipado.asturias.es/ast/bopa/disposiciones?p_p_id=pa_sede_bopa_web_portlet_SedeBopaDispositionWeb&amp;p_p_lifecycle=0&amp;_pa_sede_bopa_web_portlet_SedeBopaDispositionWeb_mvcRenderCommandName=%2Fdisposition%2Fdetail&amp;p_r_p_dispositionText=2026-03603&amp;p_r_p_dispositionReference=2026-03603&amp;p_r_p_dispositionDate=04%2F05%2F2026" TargetMode="External"/><Relationship Id="rId109" Type="http://schemas.openxmlformats.org/officeDocument/2006/relationships/hyperlink" Target="http://noticias.juridicas.com/base_datos/CCAA/538599-decreto-legislativo-2-2014-de-22-de-octubre-por-el-que-se-aprueba-el-texto.html" TargetMode="External"/><Relationship Id="rId260" Type="http://schemas.openxmlformats.org/officeDocument/2006/relationships/hyperlink" Target="http://noticias.juridicas.com/base_datos/Fiscal/ircfranciaedi.html" TargetMode="External"/><Relationship Id="rId316" Type="http://schemas.openxmlformats.org/officeDocument/2006/relationships/hyperlink" Target="http://noticias.juridicas.com/base_datos/CCAA/588320-l-6-2016-de-30-dic-ca-astuiras-de-presupuestos-generales-para-2017.html" TargetMode="External"/><Relationship Id="rId55" Type="http://schemas.openxmlformats.org/officeDocument/2006/relationships/hyperlink" Target="https://www.tributasenasturias.es/stpa/Servicios+Tributarios/Oficinas+de+Servicios+Tributarios" TargetMode="External"/><Relationship Id="rId97" Type="http://schemas.openxmlformats.org/officeDocument/2006/relationships/hyperlink" Target="https://sede.asturias.es/Asturias/SERVICIOS/20021404_solicitud_7.pdf" TargetMode="External"/><Relationship Id="rId120" Type="http://schemas.openxmlformats.org/officeDocument/2006/relationships/hyperlink" Target="http://noticias.juridicas.com/base_datos/CCAA/538599-decreto-legislativo-2-2014-de-22-de-octubre-por-el-que-se-aprueba-el-texto.html" TargetMode="External"/><Relationship Id="rId358" Type="http://schemas.openxmlformats.org/officeDocument/2006/relationships/hyperlink" Target="http://noticias.juridicas.com/base_datos/Admin/559951-l-39-2015-de-1-oct-procedimiento-administrativo-comun-de-las-administraciones.html" TargetMode="External"/><Relationship Id="rId162" Type="http://schemas.openxmlformats.org/officeDocument/2006/relationships/hyperlink" Target="http://noticias.juridicas.com/base_datos/CCAA/538599-decreto-legislativo-2-2014-de-22-de-octubre-por-el-que-se-aprueba-el-texto.html" TargetMode="External"/><Relationship Id="rId218" Type="http://schemas.openxmlformats.org/officeDocument/2006/relationships/hyperlink" Target="https://www.poderjudicial.es/search/AN/openDocument/f8988b0d7f6147b3a0a8778d75e36f0d/20221116" TargetMode="External"/><Relationship Id="rId271" Type="http://schemas.openxmlformats.org/officeDocument/2006/relationships/hyperlink" Target="http://noticias.juridicas.com/base_datos/Fiscal/l29-1987.html" TargetMode="External"/><Relationship Id="rId24" Type="http://schemas.openxmlformats.org/officeDocument/2006/relationships/hyperlink" Target="http://noticias.juridicas.com/base_datos/Fiscal/l58-2003.t2.html" TargetMode="External"/><Relationship Id="rId66" Type="http://schemas.openxmlformats.org/officeDocument/2006/relationships/hyperlink" Target="https://sede.asturias.es/bopa/2017/12/29/2017-14492.pdf" TargetMode="External"/><Relationship Id="rId131" Type="http://schemas.openxmlformats.org/officeDocument/2006/relationships/hyperlink" Target="https://docs.google.com/viewer?a=v&amp;pid=sites&amp;srcid=ZGVmYXVsdGRvbWFpbnxsZXZhbnRlbm90fGd4OjRiYzI2NjA2ZTZjNDI5MDQ" TargetMode="External"/><Relationship Id="rId327" Type="http://schemas.openxmlformats.org/officeDocument/2006/relationships/hyperlink" Target="http://www.boe.es/boe/dias/2008/12/25/pdfs/A51998-52024.pdf" TargetMode="External"/><Relationship Id="rId369" Type="http://schemas.openxmlformats.org/officeDocument/2006/relationships/header" Target="header1.xml"/><Relationship Id="rId173" Type="http://schemas.openxmlformats.org/officeDocument/2006/relationships/hyperlink" Target="http://noticias.juridicas.com/base_datos/CCAA/538599-decreto-legislativo-2-2014-de-22-de-octubre-por-el-que-se-aprueba-el-texto.html" TargetMode="External"/><Relationship Id="rId229" Type="http://schemas.openxmlformats.org/officeDocument/2006/relationships/hyperlink" Target="https://serviciostelematicosext.hacienda.gob.es/TEAC/DYCTEA/criterio.aspx?id=00/00365/2010/00/0/1&amp;q=s%3d1%26rs%3d%26rn%3d%26ra%3d%26fd%3d06%2f10%2f2010%26fh%3d06%2f10%2f2010%26u%3d%26n%3d%26p%3d%26c1%3d%26c2%3d%26c3%3d%26tc%3d1%26tr%3d%26tp%3d%26tf%3d%26c%3d2%26pg%3d" TargetMode="External"/><Relationship Id="rId240" Type="http://schemas.openxmlformats.org/officeDocument/2006/relationships/hyperlink" Target="http://noticias.juridicas.com/base_datos/Fiscal/l19-1991.html" TargetMode="External"/><Relationship Id="rId35" Type="http://schemas.openxmlformats.org/officeDocument/2006/relationships/hyperlink" Target="https://sede.asturias.es/portal/site/Asturias/menuitem.1003733838db7342ebc4e191100000f7/?vgnextoid=d7d79d16b61ee010VgnVCM1000000100007fRCRD&amp;fecha=24/03/2020&amp;refArticulo=2020-02796&amp;i18n.http.lang=es" TargetMode="External"/><Relationship Id="rId77" Type="http://schemas.openxmlformats.org/officeDocument/2006/relationships/hyperlink" Target="https://www1.sedecatastro.gob.es/Accesos/SECAccvr.aspx" TargetMode="External"/><Relationship Id="rId100" Type="http://schemas.openxmlformats.org/officeDocument/2006/relationships/hyperlink" Target="http://www.boe.es/boe/dias/2013/03/04/pdfs/BOE-A-2013-2371.pdf" TargetMode="External"/><Relationship Id="rId282" Type="http://schemas.openxmlformats.org/officeDocument/2006/relationships/hyperlink" Target="http://noticias.juridicas.com/base_datos/Anterior/r2-538599-decreto-legislativo-2-2014-de-22-de-octubre-por-el-que-se-aprueba-el-texto.html" TargetMode="External"/><Relationship Id="rId338" Type="http://schemas.openxmlformats.org/officeDocument/2006/relationships/hyperlink" Target="https://sede.asturias.es/bopa-disposiciones?p_p_id=pa_sede_bopa_web_portlet_SedeBopaDispositionWeb&amp;p_p_lifecycle=0&amp;_pa_sede_bopa_web_portlet_SedeBopaDispositionWeb_mvcRenderCommandName=%2Fdisposition%2Fdetail&amp;p_r_p_dispositionText=2021-08311&amp;p_r_p_dispositionReference=2021-08311&amp;p_r_p_dispositionDate=22%2F09%2F2021" TargetMode="External"/><Relationship Id="rId8" Type="http://schemas.openxmlformats.org/officeDocument/2006/relationships/hyperlink" Target="http://www.tributasenasturias.es" TargetMode="External"/><Relationship Id="rId142" Type="http://schemas.openxmlformats.org/officeDocument/2006/relationships/hyperlink" Target="https://noticias.juridicas.com/base_datos/CCAA/538599-decreto-legislativo-2-2014-de-22-de-octubre-por-el-que-se-aprueba-el-texto.html" TargetMode="External"/><Relationship Id="rId184" Type="http://schemas.openxmlformats.org/officeDocument/2006/relationships/hyperlink" Target="http://noticias.juridicas.com/base_datos/Fiscal/l37-1992.t6.html" TargetMode="External"/><Relationship Id="rId251" Type="http://schemas.openxmlformats.org/officeDocument/2006/relationships/hyperlink" Target="http://noticias.juridicas.com/base_datos/Fiscal/l29-1987.html" TargetMode="External"/><Relationship Id="rId46" Type="http://schemas.openxmlformats.org/officeDocument/2006/relationships/hyperlink" Target="https://sede.asturias.es/portal/site/Asturias/menuitem.1003733838db7342ebc4e191100000f7/?vgnextoid=d7d79d16b61ee010VgnVCM1000000100007fRCRD&amp;fecha=31/12/2020&amp;refArticulo=2020-11546&amp;i18n.http.lang=es" TargetMode="External"/><Relationship Id="rId293" Type="http://schemas.openxmlformats.org/officeDocument/2006/relationships/hyperlink" Target="http://noticias.juridicas.com/base_datos/Fiscal/l19-1991.html" TargetMode="External"/><Relationship Id="rId307" Type="http://schemas.openxmlformats.org/officeDocument/2006/relationships/hyperlink" Target="http://noticias.juridicas.com/base_datos/CCAA/538599-decreto-legislativo-2-2014-de-22-de-octubre-por-el-que-se-aprueba-el-texto.html" TargetMode="External"/><Relationship Id="rId349" Type="http://schemas.openxmlformats.org/officeDocument/2006/relationships/hyperlink" Target="mailto:info@quiros.es" TargetMode="External"/><Relationship Id="rId88" Type="http://schemas.openxmlformats.org/officeDocument/2006/relationships/hyperlink" Target="https://sede.asturias.es/bopa/2010/11/09/2010-23529.pdf" TargetMode="External"/><Relationship Id="rId111" Type="http://schemas.openxmlformats.org/officeDocument/2006/relationships/hyperlink" Target="http://noticias.juridicas.com/base_datos/CCAA/538599-decreto-legislativo-2-2014-de-22-de-octubre-por-el-que-se-aprueba-el-texto.html" TargetMode="External"/><Relationship Id="rId153" Type="http://schemas.openxmlformats.org/officeDocument/2006/relationships/hyperlink" Target="https://noticias.juridicas.com/base_datos/CCAA/538599-decreto-legislativo-2-2014-de-22-de-octubre-por-el-que-se-aprueba-el-texto.html" TargetMode="External"/><Relationship Id="rId195" Type="http://schemas.openxmlformats.org/officeDocument/2006/relationships/hyperlink" Target="http://noticias.juridicas.com/base_datos/Fiscal/l37-1992.t2.html" TargetMode="External"/><Relationship Id="rId209" Type="http://schemas.openxmlformats.org/officeDocument/2006/relationships/hyperlink" Target="http://noticias.juridicas.com/base_datos/Fiscal/l22-2009.t3.html" TargetMode="External"/><Relationship Id="rId360" Type="http://schemas.openxmlformats.org/officeDocument/2006/relationships/hyperlink" Target="https://sedeelectronica.gijon.es/multimedia_objects/download?object_type=document&amp;object_id=249687" TargetMode="External"/><Relationship Id="rId220" Type="http://schemas.openxmlformats.org/officeDocument/2006/relationships/hyperlink" Target="https://www.poderjudicial.es/search/AN/openDocument/fdb2fd148a82a180a0a8778d75e36f0d/20240426" TargetMode="External"/></Relationships>
</file>

<file path=word/_rels/endnotes.xml.rels><?xml version="1.0" encoding="UTF-8" standalone="yes"?>
<Relationships xmlns="http://schemas.openxmlformats.org/package/2006/relationships"><Relationship Id="rId13" Type="http://schemas.openxmlformats.org/officeDocument/2006/relationships/hyperlink" Target="http://petete.meh.es/Scripts/know3.exe/tributos/consulta/texto.htm?NDoc=15021&amp;Consulta=%2EEN+NUM%2DCONSULTA+%28%32%31%39%35%2D00%29&amp;Pos=0&amp;UD=1" TargetMode="External"/><Relationship Id="rId18" Type="http://schemas.openxmlformats.org/officeDocument/2006/relationships/hyperlink" Target="http://noticias.juridicas.com/base_datos/CCAA/538599-decreto-legislativo-2-2014-de-22-de-octubre-por-el-que-se-aprueba-el-texto.html" TargetMode="External"/><Relationship Id="rId26" Type="http://schemas.openxmlformats.org/officeDocument/2006/relationships/hyperlink" Target="http://www.notariosyregistradores.com" TargetMode="External"/><Relationship Id="rId39" Type="http://schemas.openxmlformats.org/officeDocument/2006/relationships/hyperlink" Target="http://noticias.juridicas.com/base_datos/Fiscal/l22-2009.t3.html" TargetMode="External"/><Relationship Id="rId21" Type="http://schemas.openxmlformats.org/officeDocument/2006/relationships/hyperlink" Target="http://noticias.juridicas.com/base_datos/Fiscal/l35-2006.t6.html" TargetMode="External"/><Relationship Id="rId34" Type="http://schemas.openxmlformats.org/officeDocument/2006/relationships/hyperlink" Target="http://www.poderjudicial.es/search/doAction?action=contentpdf&amp;databasematch=AN&amp;reference=6943574&amp;links=&amp;optimize=20140130&amp;publicinterface=true" TargetMode="External"/><Relationship Id="rId42" Type="http://schemas.openxmlformats.org/officeDocument/2006/relationships/hyperlink" Target="http://www.meh.es/Documentacion/Publico/NormativaDoctrina/Tributaria/Impuesto%20sobre%20sucesiones%20y%20donaciones/Resolucion_2-1999.pdf" TargetMode="External"/><Relationship Id="rId47" Type="http://schemas.openxmlformats.org/officeDocument/2006/relationships/hyperlink" Target="http://noticias.juridicas.com/base_datos/CCAA/538599-decreto-legislativo-2-2014-de-22-de-octubre-por-el-que-se-aprueba-el-texto.html" TargetMode="External"/><Relationship Id="rId50" Type="http://schemas.openxmlformats.org/officeDocument/2006/relationships/hyperlink" Target="http://www.meh.es/Documentacion/Publico/NormativaDoctrina/Tributaria/Impuesto%20sobre%20sucesiones%20y%20donaciones/Resolucion_2-1999.pdf" TargetMode="External"/><Relationship Id="rId55" Type="http://schemas.openxmlformats.org/officeDocument/2006/relationships/hyperlink" Target="http://www.boe.es/boe/dias/2011/12/31/pdfs/BOE-A-2011-20638.pdf" TargetMode="External"/><Relationship Id="rId7" Type="http://schemas.openxmlformats.org/officeDocument/2006/relationships/hyperlink" Target="http://noticias.juridicas.com/base_datos/Fiscal/rdleg1-1993.t5.html" TargetMode="External"/><Relationship Id="rId2" Type="http://schemas.openxmlformats.org/officeDocument/2006/relationships/hyperlink" Target="https://www.notariosyregistradores.com/web/secciones/fiscal/articulos-fiscal/apuntes-de-urgencia-sobre-el-impuesto-hipotecario-vicente-martorell/" TargetMode="External"/><Relationship Id="rId16" Type="http://schemas.openxmlformats.org/officeDocument/2006/relationships/hyperlink" Target="https://sites.google.com/site/levantenot/" TargetMode="External"/><Relationship Id="rId29" Type="http://schemas.openxmlformats.org/officeDocument/2006/relationships/hyperlink" Target="http://noticias.juridicas.com/base_datos/Admin/l39-2006.html" TargetMode="External"/><Relationship Id="rId11" Type="http://schemas.openxmlformats.org/officeDocument/2006/relationships/hyperlink" Target="http://noticias.juridicas.com/base_datos/Fiscal/rdleg1-1993.t4.html" TargetMode="External"/><Relationship Id="rId24" Type="http://schemas.openxmlformats.org/officeDocument/2006/relationships/hyperlink" Target="http://noticias.juridicas.com/base_datos/Fiscal/l22-2009.t3.html" TargetMode="External"/><Relationship Id="rId32" Type="http://schemas.openxmlformats.org/officeDocument/2006/relationships/hyperlink" Target="http://www.poderjudicial.es/search/openDocument/47854c33d4fcf7ae/20170519" TargetMode="External"/><Relationship Id="rId37" Type="http://schemas.openxmlformats.org/officeDocument/2006/relationships/hyperlink" Target="http://www.juntadeandalucia.es/economiayhacienda/tributos/vinculantes/criterios/indice-sucesiones.htm" TargetMode="External"/><Relationship Id="rId40" Type="http://schemas.openxmlformats.org/officeDocument/2006/relationships/hyperlink" Target="http://noticias.juridicas.com/base_datos/Fiscal/l29-1987.html" TargetMode="External"/><Relationship Id="rId45" Type="http://schemas.openxmlformats.org/officeDocument/2006/relationships/hyperlink" Target="http://www.poderjudicial.es/search/openDocument/6d7aed82a84e31ea/20181003" TargetMode="External"/><Relationship Id="rId53" Type="http://schemas.openxmlformats.org/officeDocument/2006/relationships/hyperlink" Target="http://www.boe.es/boe/dias/2015/07/11/pdfs/BOE-A-2015-7765.pdf" TargetMode="External"/><Relationship Id="rId5" Type="http://schemas.openxmlformats.org/officeDocument/2006/relationships/hyperlink" Target="http://noticias.juridicas.com/base_datos/Fiscal/l37-1992.t7.html" TargetMode="External"/><Relationship Id="rId19" Type="http://schemas.openxmlformats.org/officeDocument/2006/relationships/hyperlink" Target="http://noticias.juridicas.com/base_datos/Fiscal/rdleg1-1993.t4.html" TargetMode="External"/><Relationship Id="rId4" Type="http://schemas.openxmlformats.org/officeDocument/2006/relationships/hyperlink" Target="http://noticias.juridicas.com/base_datos/CCAA/538599-decreto-legislativo-2-2014-de-22-de-octubre-por-el-que-se-aprueba-el-texto.html" TargetMode="External"/><Relationship Id="rId9" Type="http://schemas.openxmlformats.org/officeDocument/2006/relationships/hyperlink" Target="http://noticias.juridicas.com/base_datos/CCAA/538599-decreto-legislativo-2-2014-de-22-de-octubre-por-el-que-se-aprueba-el-texto.html" TargetMode="External"/><Relationship Id="rId14" Type="http://schemas.openxmlformats.org/officeDocument/2006/relationships/hyperlink" Target="http://petete.meh.es/Scripts/know3.exe/tributos/consulta/texto.htm?NDoc=16808&amp;Consulta=%2EEN+NUM%2DCONSULTA+%2800%36%33%2D0%34%29&amp;Pos=0&amp;UD=1" TargetMode="External"/><Relationship Id="rId22" Type="http://schemas.openxmlformats.org/officeDocument/2006/relationships/hyperlink" Target="https://noticias.juridicas.com/base_datos/Fiscal/749557-ley-6-2023-de-17-mar-mercados-de-valores-y-de-los-servicios-de-inversion.html" TargetMode="External"/><Relationship Id="rId27" Type="http://schemas.openxmlformats.org/officeDocument/2006/relationships/hyperlink" Target="http://www.oviedonotaria.com" TargetMode="External"/><Relationship Id="rId30" Type="http://schemas.openxmlformats.org/officeDocument/2006/relationships/hyperlink" Target="http://noticias.juridicas.com/base_datos/Fiscal/rd439-2007.t2.html" TargetMode="External"/><Relationship Id="rId35" Type="http://schemas.openxmlformats.org/officeDocument/2006/relationships/hyperlink" Target="http://noticias.juridicas.com/base_datos/Fiscal/l58-2003.t1.html" TargetMode="External"/><Relationship Id="rId43" Type="http://schemas.openxmlformats.org/officeDocument/2006/relationships/hyperlink" Target="http://noticias.juridicas.com/base_datos/Fiscal/rd439-2007.t2.html" TargetMode="External"/><Relationship Id="rId48" Type="http://schemas.openxmlformats.org/officeDocument/2006/relationships/hyperlink" Target="http://www.meh.es/Documentacion/Publico/NormativaDoctrina/Tributaria/Impuesto%20sobre%20sucesiones%20y%20donaciones/Resolucion_2-1999.pdf" TargetMode="External"/><Relationship Id="rId56" Type="http://schemas.openxmlformats.org/officeDocument/2006/relationships/hyperlink" Target="http://noticias.juridicas.com/base_datos/Admin/l2-2012.html" TargetMode="External"/><Relationship Id="rId8" Type="http://schemas.openxmlformats.org/officeDocument/2006/relationships/hyperlink" Target="http://noticias.juridicas.com/base_datos/CCAA/538599-decreto-legislativo-2-2014-de-22-de-octubre-por-el-que-se-aprueba-el-texto.html" TargetMode="External"/><Relationship Id="rId51" Type="http://schemas.openxmlformats.org/officeDocument/2006/relationships/hyperlink" Target="http://www.notariosyregistradores.com/ACTUALIDAD%20FISCAL/CASOS-CONCRETOS/2014-administrador-gratuito-sucesiones.htm" TargetMode="External"/><Relationship Id="rId3" Type="http://schemas.openxmlformats.org/officeDocument/2006/relationships/hyperlink" Target="http://www.notariosyregistradores.com" TargetMode="External"/><Relationship Id="rId12" Type="http://schemas.openxmlformats.org/officeDocument/2006/relationships/hyperlink" Target="http://petete.meh.es/Scripts/know3.exe/tributos/consulta/texto.htm?NDoc=344&amp;Consulta=%2EEN+FECHA%2DSALIDA+%28%320%2F0%31%2F%32000%29&amp;Pos=2" TargetMode="External"/><Relationship Id="rId17" Type="http://schemas.openxmlformats.org/officeDocument/2006/relationships/hyperlink" Target="https://serviciostelematicosext.hacienda.gob.es/TEAC/DYCTEA/criterio.aspx?id=00/04878/2018/00/0/1&amp;q=s%3d1%26rn%3d%26ra%3d%26fd%3d10%2f06%2f2020%26fh%3d10%2f06%2f2020%26u%3d%26n%3d%26p%3d%26c1%3d%26c2%3d%26c3%3d%26tc%3d1%26tr%3d%26tp%3d%26tf%3d%26c%3d2%26pg%3d" TargetMode="External"/><Relationship Id="rId25" Type="http://schemas.openxmlformats.org/officeDocument/2006/relationships/hyperlink" Target="https://www.notariosyregistradores.com/web/secciones/fiscal/varios-fiscal/cuadro-con-la-incidencia-impositiva-del-valor-de-referencia-fiscal/" TargetMode="External"/><Relationship Id="rId33" Type="http://schemas.openxmlformats.org/officeDocument/2006/relationships/hyperlink" Target="http://www.poderjudicial.es/search/openDocument/6d7aed82a84e31ea/20181003" TargetMode="External"/><Relationship Id="rId38" Type="http://schemas.openxmlformats.org/officeDocument/2006/relationships/hyperlink" Target="http://www.juntadeandalucia.es/economiayhacienda/tributos/vinculantes/criterios/sucesiones.htm?objetivo22" TargetMode="External"/><Relationship Id="rId46" Type="http://schemas.openxmlformats.org/officeDocument/2006/relationships/hyperlink" Target="http://noticias.juridicas.com/base_datos/CCAA/ga-l2-2006.html" TargetMode="External"/><Relationship Id="rId20" Type="http://schemas.openxmlformats.org/officeDocument/2006/relationships/hyperlink" Target="http://noticias.juridicas.com/base_datos/CCAA/538599-decreto-legislativo-2-2014-de-22-de-octubre-por-el-que-se-aprueba-el-texto.html" TargetMode="External"/><Relationship Id="rId41" Type="http://schemas.openxmlformats.org/officeDocument/2006/relationships/hyperlink" Target="https://sede.asturias.es/portal/site/Asturias/menuitem.1003733838db7342ebc4e191100000f7/?vgnextoid=d7d79d16b61ee010VgnVCM1000000100007fRCRD&amp;fecha=31/12/2003&amp;refArticulo=2003-2231002&amp;i18n.http.lang=es" TargetMode="External"/><Relationship Id="rId54" Type="http://schemas.openxmlformats.org/officeDocument/2006/relationships/hyperlink" Target="http://www.notariosyregistradores.com/consultas-DGTr/2013-DICIEMBRE.htm" TargetMode="External"/><Relationship Id="rId1" Type="http://schemas.openxmlformats.org/officeDocument/2006/relationships/hyperlink" Target="https://petete.minhafp.gob.es/consultas/?num_consulta=V1219-19" TargetMode="External"/><Relationship Id="rId6" Type="http://schemas.openxmlformats.org/officeDocument/2006/relationships/hyperlink" Target="http://noticias.juridicas.com/base_datos/Fiscal/l37-1992.t7.html" TargetMode="External"/><Relationship Id="rId15" Type="http://schemas.openxmlformats.org/officeDocument/2006/relationships/hyperlink" Target="http://www15.gencat.cat/ecofin_dgt/AppJava/cercador?op=detall&amp;etribut=consultes&amp;pageNumber=2&amp;ta=consultes&amp;id=30933296" TargetMode="External"/><Relationship Id="rId23" Type="http://schemas.openxmlformats.org/officeDocument/2006/relationships/hyperlink" Target="http://noticias.juridicas.com/base_datos/Fiscal/l22-2009.t3.html" TargetMode="External"/><Relationship Id="rId28" Type="http://schemas.openxmlformats.org/officeDocument/2006/relationships/hyperlink" Target="http://noticias.juridicas.com/base_datos/Fiscal/l35-2006.t3.html" TargetMode="External"/><Relationship Id="rId36" Type="http://schemas.openxmlformats.org/officeDocument/2006/relationships/hyperlink" Target="http://www.juntadeandalucia.es/economiayhacienda/tributos/vinculantes/criterios/sucesiones/Consulta%2008-2017.pdf" TargetMode="External"/><Relationship Id="rId49" Type="http://schemas.openxmlformats.org/officeDocument/2006/relationships/hyperlink" Target="http://www.meh.es/Documentacion/Publico/NormativaDoctrina/Tributaria/Impuesto%20sobre%20sucesiones%20y%20donaciones/Resolucion_2-1999.pdf" TargetMode="External"/><Relationship Id="rId57" Type="http://schemas.openxmlformats.org/officeDocument/2006/relationships/hyperlink" Target="http://www.boe.es/boe/dias/2015/07/11/pdfs/BOE-A-2015-7765.pdf" TargetMode="External"/><Relationship Id="rId10" Type="http://schemas.openxmlformats.org/officeDocument/2006/relationships/hyperlink" Target="http://noticias.juridicas.com/base_datos/Fiscal/rdleg1-1993.t4.html" TargetMode="External"/><Relationship Id="rId31" Type="http://schemas.openxmlformats.org/officeDocument/2006/relationships/hyperlink" Target="http://www.notariosyregistradores.com/consultas-DGTr/2014-AGOSTO.htm" TargetMode="External"/><Relationship Id="rId44" Type="http://schemas.openxmlformats.org/officeDocument/2006/relationships/hyperlink" Target="http://www.poderjudicial.es/search/openDocument/47854c33d4fcf7ae/20170519" TargetMode="External"/><Relationship Id="rId52" Type="http://schemas.openxmlformats.org/officeDocument/2006/relationships/hyperlink" Target="https://sede.asturias.es/portal/site/Asturias/menuitem.1003733838db7342ebc4e191100000f7/?vgnextoid=d7d79d16b61ee010VgnVCM1000000100007fRCRD&amp;fecha=30/12/2006&amp;refArticulo=2006-2230066&amp;i18n.http.lang=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lantillas\MSWORD.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MSWORD.DOT</Template>
  <TotalTime>539</TotalTime>
  <Pages>73</Pages>
  <Words>31669</Words>
  <Characters>174182</Characters>
  <Application>Microsoft Office Word</Application>
  <DocSecurity>0</DocSecurity>
  <Lines>1451</Lines>
  <Paragraphs>410</Paragraphs>
  <ScaleCrop>false</ScaleCrop>
  <HeadingPairs>
    <vt:vector size="2" baseType="variant">
      <vt:variant>
        <vt:lpstr>Título</vt:lpstr>
      </vt:variant>
      <vt:variant>
        <vt:i4>1</vt:i4>
      </vt:variant>
    </vt:vector>
  </HeadingPairs>
  <TitlesOfParts>
    <vt:vector size="1" baseType="lpstr">
      <vt:lpstr>Vicente Martorell García</vt:lpstr>
    </vt:vector>
  </TitlesOfParts>
  <Company>NOTARIA</Company>
  <LinksUpToDate>false</LinksUpToDate>
  <CharactersWithSpaces>205441</CharactersWithSpaces>
  <SharedDoc>false</SharedDoc>
  <HLinks>
    <vt:vector size="3300" baseType="variant">
      <vt:variant>
        <vt:i4>5373998</vt:i4>
      </vt:variant>
      <vt:variant>
        <vt:i4>1479</vt:i4>
      </vt:variant>
      <vt:variant>
        <vt:i4>0</vt:i4>
      </vt:variant>
      <vt:variant>
        <vt:i4>5</vt:i4>
      </vt:variant>
      <vt:variant>
        <vt:lpwstr>https://hacienda.gijon.es/multimedia_objects/download?object_id=206264&amp;object_type=document</vt:lpwstr>
      </vt:variant>
      <vt:variant>
        <vt:lpwstr/>
      </vt:variant>
      <vt:variant>
        <vt:i4>5373998</vt:i4>
      </vt:variant>
      <vt:variant>
        <vt:i4>1476</vt:i4>
      </vt:variant>
      <vt:variant>
        <vt:i4>0</vt:i4>
      </vt:variant>
      <vt:variant>
        <vt:i4>5</vt:i4>
      </vt:variant>
      <vt:variant>
        <vt:lpwstr>https://hacienda.gijon.es/multimedia_objects/download?object_id=206264&amp;object_type=document</vt:lpwstr>
      </vt:variant>
      <vt:variant>
        <vt:lpwstr/>
      </vt:variant>
      <vt:variant>
        <vt:i4>5373998</vt:i4>
      </vt:variant>
      <vt:variant>
        <vt:i4>1473</vt:i4>
      </vt:variant>
      <vt:variant>
        <vt:i4>0</vt:i4>
      </vt:variant>
      <vt:variant>
        <vt:i4>5</vt:i4>
      </vt:variant>
      <vt:variant>
        <vt:lpwstr>https://hacienda.gijon.es/multimedia_objects/download?object_id=206264&amp;object_type=document</vt:lpwstr>
      </vt:variant>
      <vt:variant>
        <vt:lpwstr/>
      </vt:variant>
      <vt:variant>
        <vt:i4>4194380</vt:i4>
      </vt:variant>
      <vt:variant>
        <vt:i4>1470</vt:i4>
      </vt:variant>
      <vt:variant>
        <vt:i4>0</vt:i4>
      </vt:variant>
      <vt:variant>
        <vt:i4>5</vt:i4>
      </vt:variant>
      <vt:variant>
        <vt:lpwstr>https://sedeelectronica.gijon.es/page/6026-ordenanzas</vt:lpwstr>
      </vt:variant>
      <vt:variant>
        <vt:lpwstr/>
      </vt:variant>
      <vt:variant>
        <vt:i4>4194380</vt:i4>
      </vt:variant>
      <vt:variant>
        <vt:i4>1467</vt:i4>
      </vt:variant>
      <vt:variant>
        <vt:i4>0</vt:i4>
      </vt:variant>
      <vt:variant>
        <vt:i4>5</vt:i4>
      </vt:variant>
      <vt:variant>
        <vt:lpwstr>https://sedeelectronica.gijon.es/page/6026-ordenanzas</vt:lpwstr>
      </vt:variant>
      <vt:variant>
        <vt:lpwstr/>
      </vt:variant>
      <vt:variant>
        <vt:i4>7077919</vt:i4>
      </vt:variant>
      <vt:variant>
        <vt:i4>1464</vt:i4>
      </vt:variant>
      <vt:variant>
        <vt:i4>0</vt:i4>
      </vt:variant>
      <vt:variant>
        <vt:i4>5</vt:i4>
      </vt:variant>
      <vt:variant>
        <vt:lpwstr>https://sedeelectronica.gijon.es/multimedia_objects/download?object_type=document&amp;object_id=249687</vt:lpwstr>
      </vt:variant>
      <vt:variant>
        <vt:lpwstr/>
      </vt:variant>
      <vt:variant>
        <vt:i4>7405688</vt:i4>
      </vt:variant>
      <vt:variant>
        <vt:i4>1461</vt:i4>
      </vt:variant>
      <vt:variant>
        <vt:i4>0</vt:i4>
      </vt:variant>
      <vt:variant>
        <vt:i4>5</vt:i4>
      </vt:variant>
      <vt:variant>
        <vt:lpwstr>https://hacienda.gijon.es/page/7746-plusvalias</vt:lpwstr>
      </vt:variant>
      <vt:variant>
        <vt:lpwstr/>
      </vt:variant>
      <vt:variant>
        <vt:i4>7340045</vt:i4>
      </vt:variant>
      <vt:variant>
        <vt:i4>1458</vt:i4>
      </vt:variant>
      <vt:variant>
        <vt:i4>0</vt:i4>
      </vt:variant>
      <vt:variant>
        <vt:i4>5</vt:i4>
      </vt:variant>
      <vt:variant>
        <vt:lpwstr>http://noticias.juridicas.com/base_datos/Admin/559951-l-39-2015-de-1-oct-procedimiento-administrativo-comun-de-las-administraciones.html</vt:lpwstr>
      </vt:variant>
      <vt:variant>
        <vt:lpwstr>a53</vt:lpwstr>
      </vt:variant>
      <vt:variant>
        <vt:i4>4980762</vt:i4>
      </vt:variant>
      <vt:variant>
        <vt:i4>1455</vt:i4>
      </vt:variant>
      <vt:variant>
        <vt:i4>0</vt:i4>
      </vt:variant>
      <vt:variant>
        <vt:i4>5</vt:i4>
      </vt:variant>
      <vt:variant>
        <vt:lpwstr>https://www.oviedo.es/documents/25047/25321/ORDENANZA+N%C2%BA+404+PLUSVAL%C3%8DA.pdf/0bba66cb-5fb2-4963-9d3a-3b8b1ed8f19c</vt:lpwstr>
      </vt:variant>
      <vt:variant>
        <vt:lpwstr/>
      </vt:variant>
      <vt:variant>
        <vt:i4>4980762</vt:i4>
      </vt:variant>
      <vt:variant>
        <vt:i4>1452</vt:i4>
      </vt:variant>
      <vt:variant>
        <vt:i4>0</vt:i4>
      </vt:variant>
      <vt:variant>
        <vt:i4>5</vt:i4>
      </vt:variant>
      <vt:variant>
        <vt:lpwstr>https://www.oviedo.es/documents/25047/25321/ORDENANZA+N%C2%BA+404+PLUSVAL%C3%8DA.pdf/0bba66cb-5fb2-4963-9d3a-3b8b1ed8f19c</vt:lpwstr>
      </vt:variant>
      <vt:variant>
        <vt:lpwstr/>
      </vt:variant>
      <vt:variant>
        <vt:i4>2228287</vt:i4>
      </vt:variant>
      <vt:variant>
        <vt:i4>1449</vt:i4>
      </vt:variant>
      <vt:variant>
        <vt:i4>0</vt:i4>
      </vt:variant>
      <vt:variant>
        <vt:i4>5</vt:i4>
      </vt:variant>
      <vt:variant>
        <vt:lpwstr>https://www.oviedo.es/documents/12103/f9e08d31-bb8b-400f-8a0e-a469947bbb74</vt:lpwstr>
      </vt:variant>
      <vt:variant>
        <vt:lpwstr/>
      </vt:variant>
      <vt:variant>
        <vt:i4>4980762</vt:i4>
      </vt:variant>
      <vt:variant>
        <vt:i4>1446</vt:i4>
      </vt:variant>
      <vt:variant>
        <vt:i4>0</vt:i4>
      </vt:variant>
      <vt:variant>
        <vt:i4>5</vt:i4>
      </vt:variant>
      <vt:variant>
        <vt:lpwstr>https://www.oviedo.es/documents/25047/25321/ORDENANZA+N%C2%BA+404+PLUSVAL%C3%8DA.pdf/0bba66cb-5fb2-4963-9d3a-3b8b1ed8f19c</vt:lpwstr>
      </vt:variant>
      <vt:variant>
        <vt:lpwstr/>
      </vt:variant>
      <vt:variant>
        <vt:i4>7995453</vt:i4>
      </vt:variant>
      <vt:variant>
        <vt:i4>1443</vt:i4>
      </vt:variant>
      <vt:variant>
        <vt:i4>0</vt:i4>
      </vt:variant>
      <vt:variant>
        <vt:i4>5</vt:i4>
      </vt:variant>
      <vt:variant>
        <vt:lpwstr>chrome-extension://efaidnbmnnnibpcajpcglclefindmkaj/https:/miprincipado.asturias.es/bopa/2025/08/25/2025-06955.pdf</vt:lpwstr>
      </vt:variant>
      <vt:variant>
        <vt:lpwstr/>
      </vt:variant>
      <vt:variant>
        <vt:i4>6815800</vt:i4>
      </vt:variant>
      <vt:variant>
        <vt:i4>1440</vt:i4>
      </vt:variant>
      <vt:variant>
        <vt:i4>0</vt:i4>
      </vt:variant>
      <vt:variant>
        <vt:i4>5</vt:i4>
      </vt:variant>
      <vt:variant>
        <vt:lpwstr>https://sede.asturias.es/bopa-disposiciones?p_p_id=pa_sede_bopa_web_portlet_SedeBopaDispositionWeb&amp;p_p_lifecycle=0&amp;_pa_sede_bopa_web_portlet_SedeBopaDispositionWeb_mvcRenderCommandName=%2Fdisposition%2Fdetail&amp;p_r_p_dispositionText=2021-07023&amp;p_r_p_dispositionReference=2021-07023&amp;p_r_p_dispositionDate=27%2F07%2F2021</vt:lpwstr>
      </vt:variant>
      <vt:variant>
        <vt:lpwstr/>
      </vt:variant>
      <vt:variant>
        <vt:i4>4587575</vt:i4>
      </vt:variant>
      <vt:variant>
        <vt:i4>1437</vt:i4>
      </vt:variant>
      <vt:variant>
        <vt:i4>0</vt:i4>
      </vt:variant>
      <vt:variant>
        <vt:i4>5</vt:i4>
      </vt:variant>
      <vt:variant>
        <vt:lpwstr>https://sede.asturias.es/bopa-disposiciones?p_p_id=pa_sede_bopa_web_portlet_SedeBopaDispositionWeb&amp;p_p_lifecycle=0&amp;p_p_state=normal&amp;p_p_mode=view&amp;_pa_sede_bopa_web_portlet_SedeBopaDispositionWeb_mvcRenderCommandName=%2Fdisposition%2Fdetail&amp;p_r_p_dispositionText=termino&amp;p_r_p_dispositionReference=2021-04516&amp;p_r_p_dispositionDate=14%2F05%2F2021&amp;_pa_sede_bopa_web_portlet_SedeBopaDispositionWeb_isTextDateSearch=false</vt:lpwstr>
      </vt:variant>
      <vt:variant>
        <vt:lpwstr/>
      </vt:variant>
      <vt:variant>
        <vt:i4>6488120</vt:i4>
      </vt:variant>
      <vt:variant>
        <vt:i4>1434</vt:i4>
      </vt:variant>
      <vt:variant>
        <vt:i4>0</vt:i4>
      </vt:variant>
      <vt:variant>
        <vt:i4>5</vt:i4>
      </vt:variant>
      <vt:variant>
        <vt:lpwstr>https://sede.asturias.es/bopa-disposiciones?p_p_id=pa_sede_bopa_web_portlet_SedeBopaDispositionWeb&amp;p_p_lifecycle=0&amp;_pa_sede_bopa_web_portlet_SedeBopaDispositionWeb_mvcRenderCommandName=%2Fdisposition%2Fdetail&amp;p_r_p_dispositionText=2023-09879&amp;p_r_p_dispositionReference=2023-09879&amp;p_r_p_dispositionDate=13%2F11%2F2023</vt:lpwstr>
      </vt:variant>
      <vt:variant>
        <vt:lpwstr/>
      </vt:variant>
      <vt:variant>
        <vt:i4>3932178</vt:i4>
      </vt:variant>
      <vt:variant>
        <vt:i4>1431</vt:i4>
      </vt:variant>
      <vt:variant>
        <vt:i4>0</vt:i4>
      </vt:variant>
      <vt:variant>
        <vt:i4>5</vt:i4>
      </vt:variant>
      <vt:variant>
        <vt:lpwstr>mailto:info@quiros.es</vt:lpwstr>
      </vt:variant>
      <vt:variant>
        <vt:lpwstr/>
      </vt:variant>
      <vt:variant>
        <vt:i4>8323188</vt:i4>
      </vt:variant>
      <vt:variant>
        <vt:i4>1428</vt:i4>
      </vt:variant>
      <vt:variant>
        <vt:i4>0</vt:i4>
      </vt:variant>
      <vt:variant>
        <vt:i4>5</vt:i4>
      </vt:variant>
      <vt:variant>
        <vt:lpwstr>https://sede.asturias.es/ast/bopa-disposiciones?p_p_id=pa_sede_bopa_web_portlet_SedeBopaDispositionWeb&amp;p_p_lifecycle=0&amp;_pa_sede_bopa_web_portlet_SedeBopaDispositionWeb_mvcRenderCommandName=%2Fdisposition%2Fdetail&amp;p_r_p_dispositionText=2023-04904&amp;p_r_p_dispositionReference=2023-04904&amp;p_r_p_dispositionDate=12%2F06%2F2023</vt:lpwstr>
      </vt:variant>
      <vt:variant>
        <vt:lpwstr/>
      </vt:variant>
      <vt:variant>
        <vt:i4>7995518</vt:i4>
      </vt:variant>
      <vt:variant>
        <vt:i4>1425</vt:i4>
      </vt:variant>
      <vt:variant>
        <vt:i4>0</vt:i4>
      </vt:variant>
      <vt:variant>
        <vt:i4>5</vt:i4>
      </vt:variant>
      <vt:variant>
        <vt:lpwstr>https://sede.asturias.es/ast/bopa-disposiciones?p_p_id=pa_sede_bopa_web_portlet_SedeBopaDispositionWeb&amp;p_p_lifecycle=0&amp;_pa_sede_bopa_web_portlet_SedeBopaDispositionWeb_mvcRenderCommandName=%2Fdisposition%2Fdetail&amp;p_r_p_dispositionText=2023-03522&amp;p_r_p_dispositionReference=2023-03522&amp;p_r_p_dispositionDate=08%2F05%2F2023</vt:lpwstr>
      </vt:variant>
      <vt:variant>
        <vt:lpwstr/>
      </vt:variant>
      <vt:variant>
        <vt:i4>6946867</vt:i4>
      </vt:variant>
      <vt:variant>
        <vt:i4>1422</vt:i4>
      </vt:variant>
      <vt:variant>
        <vt:i4>0</vt:i4>
      </vt:variant>
      <vt:variant>
        <vt:i4>5</vt:i4>
      </vt:variant>
      <vt:variant>
        <vt:lpwstr>https://sede.asturias.es/bopa-disposiciones?p_p_id=pa_sede_bopa_web_portlet_SedeBopaDispositionWeb&amp;p_p_lifecycle=0&amp;_pa_sede_bopa_web_portlet_SedeBopaDispositionWeb_mvcRenderCommandName=%2Fdisposition%2Fdetail&amp;p_r_p_dispositionText=2021-05921&amp;p_r_p_dispositionReference=2021-05921&amp;p_r_p_dispositionDate=21%2F06%2F2021</vt:lpwstr>
      </vt:variant>
      <vt:variant>
        <vt:lpwstr/>
      </vt:variant>
      <vt:variant>
        <vt:i4>3866730</vt:i4>
      </vt:variant>
      <vt:variant>
        <vt:i4>1419</vt:i4>
      </vt:variant>
      <vt:variant>
        <vt:i4>0</vt:i4>
      </vt:variant>
      <vt:variant>
        <vt:i4>5</vt:i4>
      </vt:variant>
      <vt:variant>
        <vt:lpwstr>https://sede.asturias.es/bopa/2025/01/31/2025-00509.pdf</vt:lpwstr>
      </vt:variant>
      <vt:variant>
        <vt:lpwstr/>
      </vt:variant>
      <vt:variant>
        <vt:i4>6684735</vt:i4>
      </vt:variant>
      <vt:variant>
        <vt:i4>1416</vt:i4>
      </vt:variant>
      <vt:variant>
        <vt:i4>0</vt:i4>
      </vt:variant>
      <vt:variant>
        <vt:i4>5</vt:i4>
      </vt:variant>
      <vt:variant>
        <vt:lpwstr>https://sede.asturias.es/bopa-disposiciones?p_p_id=pa_sede_bopa_web_portlet_SedeBopaDispositionWeb&amp;p_p_lifecycle=0&amp;_pa_sede_bopa_web_portlet_SedeBopaDispositionWeb_mvcRenderCommandName=%2Fdisposition%2Fdetail&amp;p_r_p_dispositionText=2021-03084&amp;p_r_p_dispositionReference=2021-03084&amp;p_r_p_dispositionDate=13%2F04%2F2021</vt:lpwstr>
      </vt:variant>
      <vt:variant>
        <vt:lpwstr/>
      </vt:variant>
      <vt:variant>
        <vt:i4>5111809</vt:i4>
      </vt:variant>
      <vt:variant>
        <vt:i4>1413</vt:i4>
      </vt:variant>
      <vt:variant>
        <vt:i4>0</vt:i4>
      </vt:variant>
      <vt:variant>
        <vt:i4>5</vt:i4>
      </vt:variant>
      <vt:variant>
        <vt:lpwstr>https://sedelectronica.ayto-gozon.com/action/tramitacion?method=enter&amp;id=3008</vt:lpwstr>
      </vt:variant>
      <vt:variant>
        <vt:lpwstr/>
      </vt:variant>
      <vt:variant>
        <vt:i4>1572868</vt:i4>
      </vt:variant>
      <vt:variant>
        <vt:i4>1410</vt:i4>
      </vt:variant>
      <vt:variant>
        <vt:i4>0</vt:i4>
      </vt:variant>
      <vt:variant>
        <vt:i4>5</vt:i4>
      </vt:variant>
      <vt:variant>
        <vt:lpwstr>https://www.ayto-gozon.org/documents/201547/2663997/1.instancia+general.pdf/9c271708-e364-4573-bfae-34f4ec2ab47f</vt:lpwstr>
      </vt:variant>
      <vt:variant>
        <vt:lpwstr/>
      </vt:variant>
      <vt:variant>
        <vt:i4>1900796</vt:i4>
      </vt:variant>
      <vt:variant>
        <vt:i4>1407</vt:i4>
      </vt:variant>
      <vt:variant>
        <vt:i4>0</vt:i4>
      </vt:variant>
      <vt:variant>
        <vt:i4>5</vt:i4>
      </vt:variant>
      <vt:variant>
        <vt:lpwstr>mailto:información@ayto-gozon.org</vt:lpwstr>
      </vt:variant>
      <vt:variant>
        <vt:lpwstr/>
      </vt:variant>
      <vt:variant>
        <vt:i4>3014703</vt:i4>
      </vt:variant>
      <vt:variant>
        <vt:i4>1404</vt:i4>
      </vt:variant>
      <vt:variant>
        <vt:i4>0</vt:i4>
      </vt:variant>
      <vt:variant>
        <vt:i4>5</vt:i4>
      </vt:variant>
      <vt:variant>
        <vt:lpwstr>https://www.google.es/url?sa=t&amp;rct=j&amp;q=&amp;esrc=s&amp;source=web&amp;cd=1&amp;cad=rja&amp;uact=8&amp;ved=0ahUKEwii1fKi6vLYAhWEF8AKHX_vBKIQFggoMAA&amp;url=https%3A%2F%2Fsede.asturias.es%2Fbopa%2F2017%2F03%2F16%2F2017-02610.pdf&amp;usg=AOvVaw0UWHmUwlb0UbtiMn3x20_6</vt:lpwstr>
      </vt:variant>
      <vt:variant>
        <vt:lpwstr/>
      </vt:variant>
      <vt:variant>
        <vt:i4>5963800</vt:i4>
      </vt:variant>
      <vt:variant>
        <vt:i4>1401</vt:i4>
      </vt:variant>
      <vt:variant>
        <vt:i4>0</vt:i4>
      </vt:variant>
      <vt:variant>
        <vt:i4>5</vt:i4>
      </vt:variant>
      <vt:variant>
        <vt:lpwstr>https://sede.asturias.es/portal/site/Asturias/menuitem.1003733838db7342ebc4e191100000f7/?vgnextoid=d7d79d16b61ee010VgnVCM1000000100007fRCRD&amp;fecha=26/02/2020&amp;refArticulo=2020-01955&amp;i18n.http.lang=es</vt:lpwstr>
      </vt:variant>
      <vt:variant>
        <vt:lpwstr/>
      </vt:variant>
      <vt:variant>
        <vt:i4>6553657</vt:i4>
      </vt:variant>
      <vt:variant>
        <vt:i4>1398</vt:i4>
      </vt:variant>
      <vt:variant>
        <vt:i4>0</vt:i4>
      </vt:variant>
      <vt:variant>
        <vt:i4>5</vt:i4>
      </vt:variant>
      <vt:variant>
        <vt:lpwstr>https://sede.asturias.es/bopa-disposiciones?p_p_id=pa_sede_bopa_web_portlet_SedeBopaDispositionWeb&amp;p_p_lifecycle=0&amp;_pa_sede_bopa_web_portlet_SedeBopaDispositionWeb_mvcRenderCommandName=%2Fdisposition%2Fdetail&amp;p_r_p_dispositionText=2021-08311&amp;p_r_p_dispositionReference=2021-08311&amp;p_r_p_dispositionDate=22%2F09%2F2021</vt:lpwstr>
      </vt:variant>
      <vt:variant>
        <vt:lpwstr/>
      </vt:variant>
      <vt:variant>
        <vt:i4>5373976</vt:i4>
      </vt:variant>
      <vt:variant>
        <vt:i4>1395</vt:i4>
      </vt:variant>
      <vt:variant>
        <vt:i4>0</vt:i4>
      </vt:variant>
      <vt:variant>
        <vt:i4>5</vt:i4>
      </vt:variant>
      <vt:variant>
        <vt:lpwstr>https://sede.asturias.es/portal/site/Asturias/menuitem.1003733838db7342ebc4e191100000f7/?vgnextoid=d7d79d16b61ee010VgnVCM1000000100007fRCRD&amp;fecha=21/05/2019&amp;refArticulo=2019-05253&amp;i18n.http.lang=es</vt:lpwstr>
      </vt:variant>
      <vt:variant>
        <vt:lpwstr/>
      </vt:variant>
      <vt:variant>
        <vt:i4>5242906</vt:i4>
      </vt:variant>
      <vt:variant>
        <vt:i4>1392</vt:i4>
      </vt:variant>
      <vt:variant>
        <vt:i4>0</vt:i4>
      </vt:variant>
      <vt:variant>
        <vt:i4>5</vt:i4>
      </vt:variant>
      <vt:variant>
        <vt:lpwstr>https://sede.asturias.es/portal/site/Asturias/menuitem.1003733838db7342ebc4e191100000f7/?vgnextoid=d7d79d16b61ee010VgnVCM1000000100007fRCRD&amp;fecha=16/05/2019&amp;refArticulo=2019-04818&amp;i18n.http.lang=es</vt:lpwstr>
      </vt:variant>
      <vt:variant>
        <vt:lpwstr/>
      </vt:variant>
      <vt:variant>
        <vt:i4>4128871</vt:i4>
      </vt:variant>
      <vt:variant>
        <vt:i4>1389</vt:i4>
      </vt:variant>
      <vt:variant>
        <vt:i4>0</vt:i4>
      </vt:variant>
      <vt:variant>
        <vt:i4>5</vt:i4>
      </vt:variant>
      <vt:variant>
        <vt:lpwstr>https://sede.asturias.es/bopa/2020/12/30/2020-11204.pdf</vt:lpwstr>
      </vt:variant>
      <vt:variant>
        <vt:lpwstr/>
      </vt:variant>
      <vt:variant>
        <vt:i4>2687059</vt:i4>
      </vt:variant>
      <vt:variant>
        <vt:i4>1386</vt:i4>
      </vt:variant>
      <vt:variant>
        <vt:i4>0</vt:i4>
      </vt:variant>
      <vt:variant>
        <vt:i4>5</vt:i4>
      </vt:variant>
      <vt:variant>
        <vt:lpwstr>https://www.tributasenasturias.es/sites/stpa/default/es_ES/Ayuntamientos/Convenios-de-Delegacion</vt:lpwstr>
      </vt:variant>
      <vt:variant>
        <vt:lpwstr/>
      </vt:variant>
      <vt:variant>
        <vt:i4>2293818</vt:i4>
      </vt:variant>
      <vt:variant>
        <vt:i4>1383</vt:i4>
      </vt:variant>
      <vt:variant>
        <vt:i4>0</vt:i4>
      </vt:variant>
      <vt:variant>
        <vt:i4>5</vt:i4>
      </vt:variant>
      <vt:variant>
        <vt:lpwstr>https://sede.tributasenasturias.es/sede/Servicios/Simulador+Plusvalias+IIVTNU?pt_accion=S&amp;pt_modelo=500</vt:lpwstr>
      </vt:variant>
      <vt:variant>
        <vt:lpwstr/>
      </vt:variant>
      <vt:variant>
        <vt:i4>3932224</vt:i4>
      </vt:variant>
      <vt:variant>
        <vt:i4>1380</vt:i4>
      </vt:variant>
      <vt:variant>
        <vt:i4>0</vt:i4>
      </vt:variant>
      <vt:variant>
        <vt:i4>5</vt:i4>
      </vt:variant>
      <vt:variant>
        <vt:lpwstr>https://noticias.juridicas.com/base_datos/Fiscal/l19-1991.html</vt:lpwstr>
      </vt:variant>
      <vt:variant>
        <vt:lpwstr>a10</vt:lpwstr>
      </vt:variant>
      <vt:variant>
        <vt:i4>5111930</vt:i4>
      </vt:variant>
      <vt:variant>
        <vt:i4>1377</vt:i4>
      </vt:variant>
      <vt:variant>
        <vt:i4>0</vt:i4>
      </vt:variant>
      <vt:variant>
        <vt:i4>5</vt:i4>
      </vt:variant>
      <vt:variant>
        <vt:lpwstr>https://noticias.juridicas.com/base_datos/Fiscal/702808-l-11-2021-de-jul-medidas-prevencion-y-lucha-contra-fraude-fiscal-transposicion.html</vt:lpwstr>
      </vt:variant>
      <vt:variant>
        <vt:lpwstr/>
      </vt:variant>
      <vt:variant>
        <vt:i4>2162709</vt:i4>
      </vt:variant>
      <vt:variant>
        <vt:i4>1374</vt:i4>
      </vt:variant>
      <vt:variant>
        <vt:i4>0</vt:i4>
      </vt:variant>
      <vt:variant>
        <vt:i4>5</vt:i4>
      </vt:variant>
      <vt:variant>
        <vt:lpwstr>http://noticias.juridicas.com/base_datos/CCAA/538599-decreto-legislativo-2-2014-de-22-de-octubre-por-el-que-se-aprueba-el-texto.html</vt:lpwstr>
      </vt:variant>
      <vt:variant>
        <vt:lpwstr>a15</vt:lpwstr>
      </vt:variant>
      <vt:variant>
        <vt:i4>2293831</vt:i4>
      </vt:variant>
      <vt:variant>
        <vt:i4>1371</vt:i4>
      </vt:variant>
      <vt:variant>
        <vt:i4>0</vt:i4>
      </vt:variant>
      <vt:variant>
        <vt:i4>5</vt:i4>
      </vt:variant>
      <vt:variant>
        <vt:lpwstr>https://www.boe.es/diario_boe/txt.php?id=BOE-A-2020-17339</vt:lpwstr>
      </vt:variant>
      <vt:variant>
        <vt:lpwstr/>
      </vt:variant>
      <vt:variant>
        <vt:i4>2490408</vt:i4>
      </vt:variant>
      <vt:variant>
        <vt:i4>1368</vt:i4>
      </vt:variant>
      <vt:variant>
        <vt:i4>0</vt:i4>
      </vt:variant>
      <vt:variant>
        <vt:i4>5</vt:i4>
      </vt:variant>
      <vt:variant>
        <vt:lpwstr>http://boe.es/boe/dias/2011/09/17/pdfs/BOE-A-2011-14809.pdf</vt:lpwstr>
      </vt:variant>
      <vt:variant>
        <vt:lpwstr/>
      </vt:variant>
      <vt:variant>
        <vt:i4>2555936</vt:i4>
      </vt:variant>
      <vt:variant>
        <vt:i4>1365</vt:i4>
      </vt:variant>
      <vt:variant>
        <vt:i4>0</vt:i4>
      </vt:variant>
      <vt:variant>
        <vt:i4>5</vt:i4>
      </vt:variant>
      <vt:variant>
        <vt:lpwstr>http://www.boe.es/boe/dias/2008/12/25/pdfs/A51998-52024.pdf</vt:lpwstr>
      </vt:variant>
      <vt:variant>
        <vt:lpwstr/>
      </vt:variant>
      <vt:variant>
        <vt:i4>2555941</vt:i4>
      </vt:variant>
      <vt:variant>
        <vt:i4>1362</vt:i4>
      </vt:variant>
      <vt:variant>
        <vt:i4>0</vt:i4>
      </vt:variant>
      <vt:variant>
        <vt:i4>5</vt:i4>
      </vt:variant>
      <vt:variant>
        <vt:lpwstr>http://www.boe.es/boe/dias/2001/12/31/pdfs/A50383-50419.pdf</vt:lpwstr>
      </vt:variant>
      <vt:variant>
        <vt:lpwstr/>
      </vt:variant>
      <vt:variant>
        <vt:i4>2424871</vt:i4>
      </vt:variant>
      <vt:variant>
        <vt:i4>1359</vt:i4>
      </vt:variant>
      <vt:variant>
        <vt:i4>0</vt:i4>
      </vt:variant>
      <vt:variant>
        <vt:i4>5</vt:i4>
      </vt:variant>
      <vt:variant>
        <vt:lpwstr>http://www.boe.es/boe/dias/2000/12/14/pdfs/A43693-43709.pdf</vt:lpwstr>
      </vt:variant>
      <vt:variant>
        <vt:lpwstr/>
      </vt:variant>
      <vt:variant>
        <vt:i4>3604574</vt:i4>
      </vt:variant>
      <vt:variant>
        <vt:i4>1356</vt:i4>
      </vt:variant>
      <vt:variant>
        <vt:i4>0</vt:i4>
      </vt:variant>
      <vt:variant>
        <vt:i4>5</vt:i4>
      </vt:variant>
      <vt:variant>
        <vt:lpwstr>http://www.boe.es/aeboe/consultas/bases_datos/act.php?id=BOE-A-1991-14392</vt:lpwstr>
      </vt:variant>
      <vt:variant>
        <vt:lpwstr/>
      </vt:variant>
      <vt:variant>
        <vt:i4>2752632</vt:i4>
      </vt:variant>
      <vt:variant>
        <vt:i4>1353</vt:i4>
      </vt:variant>
      <vt:variant>
        <vt:i4>0</vt:i4>
      </vt:variant>
      <vt:variant>
        <vt:i4>5</vt:i4>
      </vt:variant>
      <vt:variant>
        <vt:lpwstr>http://www.boe.es/boe/dias/2012/12/28/pdfs/BOE-A-2012-15650.pdf</vt:lpwstr>
      </vt:variant>
      <vt:variant>
        <vt:lpwstr/>
      </vt:variant>
      <vt:variant>
        <vt:i4>3473500</vt:i4>
      </vt:variant>
      <vt:variant>
        <vt:i4>1350</vt:i4>
      </vt:variant>
      <vt:variant>
        <vt:i4>0</vt:i4>
      </vt:variant>
      <vt:variant>
        <vt:i4>5</vt:i4>
      </vt:variant>
      <vt:variant>
        <vt:lpwstr>http://noticias.juridicas.com/base_datos/Fiscal/l35-2006.t3.html</vt:lpwstr>
      </vt:variant>
      <vt:variant>
        <vt:lpwstr>a46</vt:lpwstr>
      </vt:variant>
      <vt:variant>
        <vt:i4>6553615</vt:i4>
      </vt:variant>
      <vt:variant>
        <vt:i4>1347</vt:i4>
      </vt:variant>
      <vt:variant>
        <vt:i4>0</vt:i4>
      </vt:variant>
      <vt:variant>
        <vt:i4>5</vt:i4>
      </vt:variant>
      <vt:variant>
        <vt:lpwstr>https://noticias.juridicas.com/base_datos/Fiscal/685118-l-11-2020-de-30-dic-de-presupuestos-generales-del-estado-para-el-ano-2021.html</vt:lpwstr>
      </vt:variant>
      <vt:variant>
        <vt:lpwstr>a58</vt:lpwstr>
      </vt:variant>
      <vt:variant>
        <vt:i4>3604569</vt:i4>
      </vt:variant>
      <vt:variant>
        <vt:i4>1344</vt:i4>
      </vt:variant>
      <vt:variant>
        <vt:i4>0</vt:i4>
      </vt:variant>
      <vt:variant>
        <vt:i4>5</vt:i4>
      </vt:variant>
      <vt:variant>
        <vt:lpwstr>http://noticias.juridicas.com/base_datos/Fiscal/l35-2006.t6.html</vt:lpwstr>
      </vt:variant>
      <vt:variant>
        <vt:lpwstr>a63</vt:lpwstr>
      </vt:variant>
      <vt:variant>
        <vt:i4>2228245</vt:i4>
      </vt:variant>
      <vt:variant>
        <vt:i4>1341</vt:i4>
      </vt:variant>
      <vt:variant>
        <vt:i4>0</vt:i4>
      </vt:variant>
      <vt:variant>
        <vt:i4>5</vt:i4>
      </vt:variant>
      <vt:variant>
        <vt:lpwstr>http://noticias.juridicas.com/base_datos/CCAA/538599-decreto-legislativo-2-2014-de-22-de-octubre-por-el-que-se-aprueba-el-texto.html</vt:lpwstr>
      </vt:variant>
      <vt:variant>
        <vt:lpwstr>a2</vt:lpwstr>
      </vt:variant>
      <vt:variant>
        <vt:i4>8192025</vt:i4>
      </vt:variant>
      <vt:variant>
        <vt:i4>1338</vt:i4>
      </vt:variant>
      <vt:variant>
        <vt:i4>0</vt:i4>
      </vt:variant>
      <vt:variant>
        <vt:i4>5</vt:i4>
      </vt:variant>
      <vt:variant>
        <vt:lpwstr>http://noticias.juridicas.com/base_datos/Fiscal/l29-1987.html</vt:lpwstr>
      </vt:variant>
      <vt:variant>
        <vt:lpwstr>a20</vt:lpwstr>
      </vt:variant>
      <vt:variant>
        <vt:i4>5636121</vt:i4>
      </vt:variant>
      <vt:variant>
        <vt:i4>1335</vt:i4>
      </vt:variant>
      <vt:variant>
        <vt:i4>0</vt:i4>
      </vt:variant>
      <vt:variant>
        <vt:i4>5</vt:i4>
      </vt:variant>
      <vt:variant>
        <vt:lpwstr>https://sede.asturias.es/portal/site/Asturias/menuitem.1003733838db7342ebc4e191100000f7/?vgnextoid=d7d79d16b61ee010VgnVCM1000000100007fRCRD&amp;fecha=31/12/2008&amp;refArticulo=2008-25602&amp;i18n.http.lang=es</vt:lpwstr>
      </vt:variant>
      <vt:variant>
        <vt:lpwstr/>
      </vt:variant>
      <vt:variant>
        <vt:i4>4849767</vt:i4>
      </vt:variant>
      <vt:variant>
        <vt:i4>1332</vt:i4>
      </vt:variant>
      <vt:variant>
        <vt:i4>0</vt:i4>
      </vt:variant>
      <vt:variant>
        <vt:i4>5</vt:i4>
      </vt:variant>
      <vt:variant>
        <vt:lpwstr>http://noticias.juridicas.com/base_datos/Anterior/r1-538599-decreto-legislativo-2-2014-de-22-de-octubre-por-el-que-se-aprueba-el-texto.html</vt:lpwstr>
      </vt:variant>
      <vt:variant>
        <vt:lpwstr>a23</vt:lpwstr>
      </vt:variant>
      <vt:variant>
        <vt:i4>8192025</vt:i4>
      </vt:variant>
      <vt:variant>
        <vt:i4>1329</vt:i4>
      </vt:variant>
      <vt:variant>
        <vt:i4>0</vt:i4>
      </vt:variant>
      <vt:variant>
        <vt:i4>5</vt:i4>
      </vt:variant>
      <vt:variant>
        <vt:lpwstr>http://noticias.juridicas.com/base_datos/Fiscal/l29-1987.html</vt:lpwstr>
      </vt:variant>
      <vt:variant>
        <vt:lpwstr>a20</vt:lpwstr>
      </vt:variant>
      <vt:variant>
        <vt:i4>5308458</vt:i4>
      </vt:variant>
      <vt:variant>
        <vt:i4>1326</vt:i4>
      </vt:variant>
      <vt:variant>
        <vt:i4>0</vt:i4>
      </vt:variant>
      <vt:variant>
        <vt:i4>5</vt:i4>
      </vt:variant>
      <vt:variant>
        <vt:lpwstr>http://noticias.juridicas.com/base_datos/CCAA/588320-l-6-2016-de-30-dic-ca-astuiras-de-presupuestos-generales-para-2017.html</vt:lpwstr>
      </vt:variant>
      <vt:variant>
        <vt:lpwstr/>
      </vt:variant>
      <vt:variant>
        <vt:i4>2228245</vt:i4>
      </vt:variant>
      <vt:variant>
        <vt:i4>1323</vt:i4>
      </vt:variant>
      <vt:variant>
        <vt:i4>0</vt:i4>
      </vt:variant>
      <vt:variant>
        <vt:i4>5</vt:i4>
      </vt:variant>
      <vt:variant>
        <vt:lpwstr>http://noticias.juridicas.com/base_datos/CCAA/538599-decreto-legislativo-2-2014-de-22-de-octubre-por-el-que-se-aprueba-el-texto.html</vt:lpwstr>
      </vt:variant>
      <vt:variant>
        <vt:lpwstr>a20</vt:lpwstr>
      </vt:variant>
      <vt:variant>
        <vt:i4>8192025</vt:i4>
      </vt:variant>
      <vt:variant>
        <vt:i4>1320</vt:i4>
      </vt:variant>
      <vt:variant>
        <vt:i4>0</vt:i4>
      </vt:variant>
      <vt:variant>
        <vt:i4>5</vt:i4>
      </vt:variant>
      <vt:variant>
        <vt:lpwstr>http://noticias.juridicas.com/base_datos/Fiscal/l29-1987.html</vt:lpwstr>
      </vt:variant>
      <vt:variant>
        <vt:lpwstr>a20</vt:lpwstr>
      </vt:variant>
      <vt:variant>
        <vt:i4>7012391</vt:i4>
      </vt:variant>
      <vt:variant>
        <vt:i4>1317</vt:i4>
      </vt:variant>
      <vt:variant>
        <vt:i4>0</vt:i4>
      </vt:variant>
      <vt:variant>
        <vt:i4>5</vt:i4>
      </vt:variant>
      <vt:variant>
        <vt:lpwstr>https://sede.asturias.es/portal/site/Asturias/menuitem.1003733838db7342ebc4e191100000f7/?vgnextoid=d7d79d16b61ee010VgnVCM1000000100007fRCRD&amp;fecha=31/12/2003&amp;refArticulo=2003-2231002&amp;i18n.http.lang=es</vt:lpwstr>
      </vt:variant>
      <vt:variant>
        <vt:lpwstr/>
      </vt:variant>
      <vt:variant>
        <vt:i4>8192025</vt:i4>
      </vt:variant>
      <vt:variant>
        <vt:i4>1314</vt:i4>
      </vt:variant>
      <vt:variant>
        <vt:i4>0</vt:i4>
      </vt:variant>
      <vt:variant>
        <vt:i4>5</vt:i4>
      </vt:variant>
      <vt:variant>
        <vt:lpwstr>http://noticias.juridicas.com/base_datos/Fiscal/l29-1987.html</vt:lpwstr>
      </vt:variant>
      <vt:variant>
        <vt:lpwstr>a20</vt:lpwstr>
      </vt:variant>
      <vt:variant>
        <vt:i4>8192025</vt:i4>
      </vt:variant>
      <vt:variant>
        <vt:i4>1311</vt:i4>
      </vt:variant>
      <vt:variant>
        <vt:i4>0</vt:i4>
      </vt:variant>
      <vt:variant>
        <vt:i4>5</vt:i4>
      </vt:variant>
      <vt:variant>
        <vt:lpwstr>http://noticias.juridicas.com/base_datos/Fiscal/l29-1987.html</vt:lpwstr>
      </vt:variant>
      <vt:variant>
        <vt:lpwstr>a22</vt:lpwstr>
      </vt:variant>
      <vt:variant>
        <vt:i4>8192025</vt:i4>
      </vt:variant>
      <vt:variant>
        <vt:i4>1308</vt:i4>
      </vt:variant>
      <vt:variant>
        <vt:i4>0</vt:i4>
      </vt:variant>
      <vt:variant>
        <vt:i4>5</vt:i4>
      </vt:variant>
      <vt:variant>
        <vt:lpwstr>http://noticias.juridicas.com/base_datos/Fiscal/l29-1987.html</vt:lpwstr>
      </vt:variant>
      <vt:variant>
        <vt:lpwstr>a20</vt:lpwstr>
      </vt:variant>
      <vt:variant>
        <vt:i4>2228245</vt:i4>
      </vt:variant>
      <vt:variant>
        <vt:i4>1305</vt:i4>
      </vt:variant>
      <vt:variant>
        <vt:i4>0</vt:i4>
      </vt:variant>
      <vt:variant>
        <vt:i4>5</vt:i4>
      </vt:variant>
      <vt:variant>
        <vt:lpwstr>http://noticias.juridicas.com/base_datos/CCAA/538599-decreto-legislativo-2-2014-de-22-de-octubre-por-el-que-se-aprueba-el-texto.html</vt:lpwstr>
      </vt:variant>
      <vt:variant>
        <vt:lpwstr>a20</vt:lpwstr>
      </vt:variant>
      <vt:variant>
        <vt:i4>5308458</vt:i4>
      </vt:variant>
      <vt:variant>
        <vt:i4>1302</vt:i4>
      </vt:variant>
      <vt:variant>
        <vt:i4>0</vt:i4>
      </vt:variant>
      <vt:variant>
        <vt:i4>5</vt:i4>
      </vt:variant>
      <vt:variant>
        <vt:lpwstr>http://noticias.juridicas.com/base_datos/CCAA/588320-l-6-2016-de-30-dic-ca-astuiras-de-presupuestos-generales-para-2017.html</vt:lpwstr>
      </vt:variant>
      <vt:variant>
        <vt:lpwstr/>
      </vt:variant>
      <vt:variant>
        <vt:i4>2228245</vt:i4>
      </vt:variant>
      <vt:variant>
        <vt:i4>1299</vt:i4>
      </vt:variant>
      <vt:variant>
        <vt:i4>0</vt:i4>
      </vt:variant>
      <vt:variant>
        <vt:i4>5</vt:i4>
      </vt:variant>
      <vt:variant>
        <vt:lpwstr>http://noticias.juridicas.com/base_datos/CCAA/538599-decreto-legislativo-2-2014-de-22-de-octubre-por-el-que-se-aprueba-el-texto.html</vt:lpwstr>
      </vt:variant>
      <vt:variant>
        <vt:lpwstr>a21</vt:lpwstr>
      </vt:variant>
      <vt:variant>
        <vt:i4>8192025</vt:i4>
      </vt:variant>
      <vt:variant>
        <vt:i4>1296</vt:i4>
      </vt:variant>
      <vt:variant>
        <vt:i4>0</vt:i4>
      </vt:variant>
      <vt:variant>
        <vt:i4>5</vt:i4>
      </vt:variant>
      <vt:variant>
        <vt:lpwstr>http://noticias.juridicas.com/base_datos/Fiscal/l29-1987.html</vt:lpwstr>
      </vt:variant>
      <vt:variant>
        <vt:lpwstr>a20</vt:lpwstr>
      </vt:variant>
      <vt:variant>
        <vt:i4>2228245</vt:i4>
      </vt:variant>
      <vt:variant>
        <vt:i4>1293</vt:i4>
      </vt:variant>
      <vt:variant>
        <vt:i4>0</vt:i4>
      </vt:variant>
      <vt:variant>
        <vt:i4>5</vt:i4>
      </vt:variant>
      <vt:variant>
        <vt:lpwstr>http://noticias.juridicas.com/base_datos/CCAA/538599-decreto-legislativo-2-2014-de-22-de-octubre-por-el-que-se-aprueba-el-texto.html</vt:lpwstr>
      </vt:variant>
      <vt:variant>
        <vt:lpwstr>a21</vt:lpwstr>
      </vt:variant>
      <vt:variant>
        <vt:i4>8192025</vt:i4>
      </vt:variant>
      <vt:variant>
        <vt:i4>1290</vt:i4>
      </vt:variant>
      <vt:variant>
        <vt:i4>0</vt:i4>
      </vt:variant>
      <vt:variant>
        <vt:i4>5</vt:i4>
      </vt:variant>
      <vt:variant>
        <vt:lpwstr>http://noticias.juridicas.com/base_datos/Fiscal/l29-1987.html</vt:lpwstr>
      </vt:variant>
      <vt:variant>
        <vt:lpwstr>a20</vt:lpwstr>
      </vt:variant>
      <vt:variant>
        <vt:i4>6160413</vt:i4>
      </vt:variant>
      <vt:variant>
        <vt:i4>1287</vt:i4>
      </vt:variant>
      <vt:variant>
        <vt:i4>0</vt:i4>
      </vt:variant>
      <vt:variant>
        <vt:i4>5</vt:i4>
      </vt:variant>
      <vt:variant>
        <vt:lpwstr>https://sede.asturias.es/portal/site/Asturias/menuitem.1003733838db7342ebc4e191100000f7/?vgnextoid=d7d79d16b61ee010VgnVCM1000000100007fRCRD&amp;fecha=14/07/2010&amp;refArticulo=2010-15855&amp;i18n.http.lang=es</vt:lpwstr>
      </vt:variant>
      <vt:variant>
        <vt:lpwstr/>
      </vt:variant>
      <vt:variant>
        <vt:i4>2228245</vt:i4>
      </vt:variant>
      <vt:variant>
        <vt:i4>1284</vt:i4>
      </vt:variant>
      <vt:variant>
        <vt:i4>0</vt:i4>
      </vt:variant>
      <vt:variant>
        <vt:i4>5</vt:i4>
      </vt:variant>
      <vt:variant>
        <vt:lpwstr>http://noticias.juridicas.com/base_datos/CCAA/538599-decreto-legislativo-2-2014-de-22-de-octubre-por-el-que-se-aprueba-el-texto.html</vt:lpwstr>
      </vt:variant>
      <vt:variant>
        <vt:lpwstr>a21</vt:lpwstr>
      </vt:variant>
      <vt:variant>
        <vt:i4>1507370</vt:i4>
      </vt:variant>
      <vt:variant>
        <vt:i4>1281</vt:i4>
      </vt:variant>
      <vt:variant>
        <vt:i4>0</vt:i4>
      </vt:variant>
      <vt:variant>
        <vt:i4>5</vt:i4>
      </vt:variant>
      <vt:variant>
        <vt:lpwstr>http://noticias.juridicas.com/base_datos/CCAA/601447-l-7-2017-de-30-jun-ca-asturias-tercera-modificacion-del-texto-refundido-de.html</vt:lpwstr>
      </vt:variant>
      <vt:variant>
        <vt:lpwstr/>
      </vt:variant>
      <vt:variant>
        <vt:i4>5570605</vt:i4>
      </vt:variant>
      <vt:variant>
        <vt:i4>1278</vt:i4>
      </vt:variant>
      <vt:variant>
        <vt:i4>0</vt:i4>
      </vt:variant>
      <vt:variant>
        <vt:i4>5</vt:i4>
      </vt:variant>
      <vt:variant>
        <vt:lpwstr>http://noticias.juridicas.com/base_datos/CCAA/538599-decreto-legislativo-2-2014-de-22-de-octubre-por-el-que-se-aprueba-el-texto.html</vt:lpwstr>
      </vt:variant>
      <vt:variant>
        <vt:lpwstr>a18t</vt:lpwstr>
      </vt:variant>
      <vt:variant>
        <vt:i4>8257560</vt:i4>
      </vt:variant>
      <vt:variant>
        <vt:i4>1275</vt:i4>
      </vt:variant>
      <vt:variant>
        <vt:i4>0</vt:i4>
      </vt:variant>
      <vt:variant>
        <vt:i4>5</vt:i4>
      </vt:variant>
      <vt:variant>
        <vt:lpwstr>http://noticias.juridicas.com/base_datos/Fiscal/l19-1991.html</vt:lpwstr>
      </vt:variant>
      <vt:variant>
        <vt:lpwstr>a4</vt:lpwstr>
      </vt:variant>
      <vt:variant>
        <vt:i4>1507370</vt:i4>
      </vt:variant>
      <vt:variant>
        <vt:i4>1272</vt:i4>
      </vt:variant>
      <vt:variant>
        <vt:i4>0</vt:i4>
      </vt:variant>
      <vt:variant>
        <vt:i4>5</vt:i4>
      </vt:variant>
      <vt:variant>
        <vt:lpwstr>http://noticias.juridicas.com/base_datos/CCAA/601447-l-7-2017-de-30-jun-ca-asturias-tercera-modificacion-del-texto-refundido-de.html</vt:lpwstr>
      </vt:variant>
      <vt:variant>
        <vt:lpwstr/>
      </vt:variant>
      <vt:variant>
        <vt:i4>5570605</vt:i4>
      </vt:variant>
      <vt:variant>
        <vt:i4>1269</vt:i4>
      </vt:variant>
      <vt:variant>
        <vt:i4>0</vt:i4>
      </vt:variant>
      <vt:variant>
        <vt:i4>5</vt:i4>
      </vt:variant>
      <vt:variant>
        <vt:lpwstr>http://noticias.juridicas.com/base_datos/CCAA/538599-decreto-legislativo-2-2014-de-22-de-octubre-por-el-que-se-aprueba-el-texto.html</vt:lpwstr>
      </vt:variant>
      <vt:variant>
        <vt:lpwstr>a18t</vt:lpwstr>
      </vt:variant>
      <vt:variant>
        <vt:i4>8126530</vt:i4>
      </vt:variant>
      <vt:variant>
        <vt:i4>1266</vt:i4>
      </vt:variant>
      <vt:variant>
        <vt:i4>0</vt:i4>
      </vt:variant>
      <vt:variant>
        <vt:i4>5</vt:i4>
      </vt:variant>
      <vt:variant>
        <vt:lpwstr>http://noticias.juridicas.com/base_datos/Privado/l19-1995.html</vt:lpwstr>
      </vt:variant>
      <vt:variant>
        <vt:lpwstr/>
      </vt:variant>
      <vt:variant>
        <vt:i4>1507370</vt:i4>
      </vt:variant>
      <vt:variant>
        <vt:i4>1263</vt:i4>
      </vt:variant>
      <vt:variant>
        <vt:i4>0</vt:i4>
      </vt:variant>
      <vt:variant>
        <vt:i4>5</vt:i4>
      </vt:variant>
      <vt:variant>
        <vt:lpwstr>http://noticias.juridicas.com/base_datos/CCAA/601447-l-7-2017-de-30-jun-ca-asturias-tercera-modificacion-del-texto-refundido-de.html</vt:lpwstr>
      </vt:variant>
      <vt:variant>
        <vt:lpwstr/>
      </vt:variant>
      <vt:variant>
        <vt:i4>2162709</vt:i4>
      </vt:variant>
      <vt:variant>
        <vt:i4>1260</vt:i4>
      </vt:variant>
      <vt:variant>
        <vt:i4>0</vt:i4>
      </vt:variant>
      <vt:variant>
        <vt:i4>5</vt:i4>
      </vt:variant>
      <vt:variant>
        <vt:lpwstr>http://noticias.juridicas.com/base_datos/CCAA/538599-decreto-legislativo-2-2014-de-22-de-octubre-por-el-que-se-aprueba-el-texto.html</vt:lpwstr>
      </vt:variant>
      <vt:variant>
        <vt:lpwstr>a17</vt:lpwstr>
      </vt:variant>
      <vt:variant>
        <vt:i4>8257560</vt:i4>
      </vt:variant>
      <vt:variant>
        <vt:i4>1257</vt:i4>
      </vt:variant>
      <vt:variant>
        <vt:i4>0</vt:i4>
      </vt:variant>
      <vt:variant>
        <vt:i4>5</vt:i4>
      </vt:variant>
      <vt:variant>
        <vt:lpwstr>http://noticias.juridicas.com/base_datos/Fiscal/l19-1991.html</vt:lpwstr>
      </vt:variant>
      <vt:variant>
        <vt:lpwstr>a4</vt:lpwstr>
      </vt:variant>
      <vt:variant>
        <vt:i4>8257560</vt:i4>
      </vt:variant>
      <vt:variant>
        <vt:i4>1254</vt:i4>
      </vt:variant>
      <vt:variant>
        <vt:i4>0</vt:i4>
      </vt:variant>
      <vt:variant>
        <vt:i4>5</vt:i4>
      </vt:variant>
      <vt:variant>
        <vt:lpwstr>http://noticias.juridicas.com/base_datos/Fiscal/l19-1991.html</vt:lpwstr>
      </vt:variant>
      <vt:variant>
        <vt:lpwstr>a4</vt:lpwstr>
      </vt:variant>
      <vt:variant>
        <vt:i4>1507370</vt:i4>
      </vt:variant>
      <vt:variant>
        <vt:i4>1251</vt:i4>
      </vt:variant>
      <vt:variant>
        <vt:i4>0</vt:i4>
      </vt:variant>
      <vt:variant>
        <vt:i4>5</vt:i4>
      </vt:variant>
      <vt:variant>
        <vt:lpwstr>http://noticias.juridicas.com/base_datos/CCAA/601447-l-7-2017-de-30-jun-ca-asturias-tercera-modificacion-del-texto-refundido-de.html</vt:lpwstr>
      </vt:variant>
      <vt:variant>
        <vt:lpwstr/>
      </vt:variant>
      <vt:variant>
        <vt:i4>2162709</vt:i4>
      </vt:variant>
      <vt:variant>
        <vt:i4>1248</vt:i4>
      </vt:variant>
      <vt:variant>
        <vt:i4>0</vt:i4>
      </vt:variant>
      <vt:variant>
        <vt:i4>5</vt:i4>
      </vt:variant>
      <vt:variant>
        <vt:lpwstr>http://noticias.juridicas.com/base_datos/CCAA/538599-decreto-legislativo-2-2014-de-22-de-octubre-por-el-que-se-aprueba-el-texto.html</vt:lpwstr>
      </vt:variant>
      <vt:variant>
        <vt:lpwstr>a17</vt:lpwstr>
      </vt:variant>
      <vt:variant>
        <vt:i4>1507370</vt:i4>
      </vt:variant>
      <vt:variant>
        <vt:i4>1245</vt:i4>
      </vt:variant>
      <vt:variant>
        <vt:i4>0</vt:i4>
      </vt:variant>
      <vt:variant>
        <vt:i4>5</vt:i4>
      </vt:variant>
      <vt:variant>
        <vt:lpwstr>http://noticias.juridicas.com/base_datos/CCAA/601447-l-7-2017-de-30-jun-ca-asturias-tercera-modificacion-del-texto-refundido-de.html</vt:lpwstr>
      </vt:variant>
      <vt:variant>
        <vt:lpwstr/>
      </vt:variant>
      <vt:variant>
        <vt:i4>8192025</vt:i4>
      </vt:variant>
      <vt:variant>
        <vt:i4>1242</vt:i4>
      </vt:variant>
      <vt:variant>
        <vt:i4>0</vt:i4>
      </vt:variant>
      <vt:variant>
        <vt:i4>5</vt:i4>
      </vt:variant>
      <vt:variant>
        <vt:lpwstr>http://noticias.juridicas.com/base_datos/Fiscal/l29-1987.html</vt:lpwstr>
      </vt:variant>
      <vt:variant>
        <vt:lpwstr>a20</vt:lpwstr>
      </vt:variant>
      <vt:variant>
        <vt:i4>2162709</vt:i4>
      </vt:variant>
      <vt:variant>
        <vt:i4>1239</vt:i4>
      </vt:variant>
      <vt:variant>
        <vt:i4>0</vt:i4>
      </vt:variant>
      <vt:variant>
        <vt:i4>5</vt:i4>
      </vt:variant>
      <vt:variant>
        <vt:lpwstr>http://noticias.juridicas.com/base_datos/CCAA/538599-decreto-legislativo-2-2014-de-22-de-octubre-por-el-que-se-aprueba-el-texto.html</vt:lpwstr>
      </vt:variant>
      <vt:variant>
        <vt:lpwstr>a17</vt:lpwstr>
      </vt:variant>
      <vt:variant>
        <vt:i4>1507370</vt:i4>
      </vt:variant>
      <vt:variant>
        <vt:i4>1236</vt:i4>
      </vt:variant>
      <vt:variant>
        <vt:i4>0</vt:i4>
      </vt:variant>
      <vt:variant>
        <vt:i4>5</vt:i4>
      </vt:variant>
      <vt:variant>
        <vt:lpwstr>http://noticias.juridicas.com/base_datos/CCAA/601447-l-7-2017-de-30-jun-ca-asturias-tercera-modificacion-del-texto-refundido-de.html</vt:lpwstr>
      </vt:variant>
      <vt:variant>
        <vt:lpwstr/>
      </vt:variant>
      <vt:variant>
        <vt:i4>2162709</vt:i4>
      </vt:variant>
      <vt:variant>
        <vt:i4>1233</vt:i4>
      </vt:variant>
      <vt:variant>
        <vt:i4>0</vt:i4>
      </vt:variant>
      <vt:variant>
        <vt:i4>5</vt:i4>
      </vt:variant>
      <vt:variant>
        <vt:lpwstr>http://noticias.juridicas.com/base_datos/CCAA/538599-decreto-legislativo-2-2014-de-22-de-octubre-por-el-que-se-aprueba-el-texto.html</vt:lpwstr>
      </vt:variant>
      <vt:variant>
        <vt:lpwstr>a17</vt:lpwstr>
      </vt:variant>
      <vt:variant>
        <vt:i4>8192025</vt:i4>
      </vt:variant>
      <vt:variant>
        <vt:i4>1230</vt:i4>
      </vt:variant>
      <vt:variant>
        <vt:i4>0</vt:i4>
      </vt:variant>
      <vt:variant>
        <vt:i4>5</vt:i4>
      </vt:variant>
      <vt:variant>
        <vt:lpwstr>http://noticias.juridicas.com/base_datos/Fiscal/l29-1987.html</vt:lpwstr>
      </vt:variant>
      <vt:variant>
        <vt:lpwstr>a20</vt:lpwstr>
      </vt:variant>
      <vt:variant>
        <vt:i4>5308458</vt:i4>
      </vt:variant>
      <vt:variant>
        <vt:i4>1227</vt:i4>
      </vt:variant>
      <vt:variant>
        <vt:i4>0</vt:i4>
      </vt:variant>
      <vt:variant>
        <vt:i4>5</vt:i4>
      </vt:variant>
      <vt:variant>
        <vt:lpwstr>http://noticias.juridicas.com/base_datos/CCAA/588320-l-6-2016-de-30-dic-ca-astuiras-de-presupuestos-generales-para-2017.html</vt:lpwstr>
      </vt:variant>
      <vt:variant>
        <vt:lpwstr/>
      </vt:variant>
      <vt:variant>
        <vt:i4>2621520</vt:i4>
      </vt:variant>
      <vt:variant>
        <vt:i4>1224</vt:i4>
      </vt:variant>
      <vt:variant>
        <vt:i4>0</vt:i4>
      </vt:variant>
      <vt:variant>
        <vt:i4>5</vt:i4>
      </vt:variant>
      <vt:variant>
        <vt:lpwstr>http://noticias.juridicas.com/base_datos/Anterior/r2-538599-decreto-legislativo-2-2014-de-22-de-octubre-por-el-que-se-aprueba-el-texto.html</vt:lpwstr>
      </vt:variant>
      <vt:variant>
        <vt:lpwstr>a17b</vt:lpwstr>
      </vt:variant>
      <vt:variant>
        <vt:i4>8192025</vt:i4>
      </vt:variant>
      <vt:variant>
        <vt:i4>1221</vt:i4>
      </vt:variant>
      <vt:variant>
        <vt:i4>0</vt:i4>
      </vt:variant>
      <vt:variant>
        <vt:i4>5</vt:i4>
      </vt:variant>
      <vt:variant>
        <vt:lpwstr>http://noticias.juridicas.com/base_datos/Fiscal/l29-1987.html</vt:lpwstr>
      </vt:variant>
      <vt:variant>
        <vt:lpwstr>a20</vt:lpwstr>
      </vt:variant>
      <vt:variant>
        <vt:i4>1638501</vt:i4>
      </vt:variant>
      <vt:variant>
        <vt:i4>1218</vt:i4>
      </vt:variant>
      <vt:variant>
        <vt:i4>0</vt:i4>
      </vt:variant>
      <vt:variant>
        <vt:i4>5</vt:i4>
      </vt:variant>
      <vt:variant>
        <vt:lpwstr>http://noticias.juridicas.com/base_datos/Fiscal/rd1629-1991.t2.html</vt:lpwstr>
      </vt:variant>
      <vt:variant>
        <vt:lpwstr>a80</vt:lpwstr>
      </vt:variant>
      <vt:variant>
        <vt:i4>2162709</vt:i4>
      </vt:variant>
      <vt:variant>
        <vt:i4>1215</vt:i4>
      </vt:variant>
      <vt:variant>
        <vt:i4>0</vt:i4>
      </vt:variant>
      <vt:variant>
        <vt:i4>5</vt:i4>
      </vt:variant>
      <vt:variant>
        <vt:lpwstr>http://noticias.juridicas.com/base_datos/CCAA/538599-decreto-legislativo-2-2014-de-22-de-octubre-por-el-que-se-aprueba-el-texto.html</vt:lpwstr>
      </vt:variant>
      <vt:variant>
        <vt:lpwstr>a17</vt:lpwstr>
      </vt:variant>
      <vt:variant>
        <vt:i4>8257560</vt:i4>
      </vt:variant>
      <vt:variant>
        <vt:i4>1212</vt:i4>
      </vt:variant>
      <vt:variant>
        <vt:i4>0</vt:i4>
      </vt:variant>
      <vt:variant>
        <vt:i4>5</vt:i4>
      </vt:variant>
      <vt:variant>
        <vt:lpwstr>http://noticias.juridicas.com/base_datos/Fiscal/l19-1991.html</vt:lpwstr>
      </vt:variant>
      <vt:variant>
        <vt:lpwstr>a4</vt:lpwstr>
      </vt:variant>
      <vt:variant>
        <vt:i4>2162709</vt:i4>
      </vt:variant>
      <vt:variant>
        <vt:i4>1209</vt:i4>
      </vt:variant>
      <vt:variant>
        <vt:i4>0</vt:i4>
      </vt:variant>
      <vt:variant>
        <vt:i4>5</vt:i4>
      </vt:variant>
      <vt:variant>
        <vt:lpwstr>http://noticias.juridicas.com/base_datos/CCAA/538599-decreto-legislativo-2-2014-de-22-de-octubre-por-el-que-se-aprueba-el-texto.html</vt:lpwstr>
      </vt:variant>
      <vt:variant>
        <vt:lpwstr>a17</vt:lpwstr>
      </vt:variant>
      <vt:variant>
        <vt:i4>8126530</vt:i4>
      </vt:variant>
      <vt:variant>
        <vt:i4>1206</vt:i4>
      </vt:variant>
      <vt:variant>
        <vt:i4>0</vt:i4>
      </vt:variant>
      <vt:variant>
        <vt:i4>5</vt:i4>
      </vt:variant>
      <vt:variant>
        <vt:lpwstr>http://noticias.juridicas.com/base_datos/Privado/l19-1995.html</vt:lpwstr>
      </vt:variant>
      <vt:variant>
        <vt:lpwstr/>
      </vt:variant>
      <vt:variant>
        <vt:i4>2162709</vt:i4>
      </vt:variant>
      <vt:variant>
        <vt:i4>1203</vt:i4>
      </vt:variant>
      <vt:variant>
        <vt:i4>0</vt:i4>
      </vt:variant>
      <vt:variant>
        <vt:i4>5</vt:i4>
      </vt:variant>
      <vt:variant>
        <vt:lpwstr>http://noticias.juridicas.com/base_datos/CCAA/538599-decreto-legislativo-2-2014-de-22-de-octubre-por-el-que-se-aprueba-el-texto.html</vt:lpwstr>
      </vt:variant>
      <vt:variant>
        <vt:lpwstr>a17</vt:lpwstr>
      </vt:variant>
      <vt:variant>
        <vt:i4>2162709</vt:i4>
      </vt:variant>
      <vt:variant>
        <vt:i4>1200</vt:i4>
      </vt:variant>
      <vt:variant>
        <vt:i4>0</vt:i4>
      </vt:variant>
      <vt:variant>
        <vt:i4>5</vt:i4>
      </vt:variant>
      <vt:variant>
        <vt:lpwstr>http://noticias.juridicas.com/base_datos/CCAA/538599-decreto-legislativo-2-2014-de-22-de-octubre-por-el-que-se-aprueba-el-texto.html</vt:lpwstr>
      </vt:variant>
      <vt:variant>
        <vt:lpwstr>a17</vt:lpwstr>
      </vt:variant>
      <vt:variant>
        <vt:i4>8192025</vt:i4>
      </vt:variant>
      <vt:variant>
        <vt:i4>1197</vt:i4>
      </vt:variant>
      <vt:variant>
        <vt:i4>0</vt:i4>
      </vt:variant>
      <vt:variant>
        <vt:i4>5</vt:i4>
      </vt:variant>
      <vt:variant>
        <vt:lpwstr>http://noticias.juridicas.com/base_datos/Fiscal/l29-1987.html</vt:lpwstr>
      </vt:variant>
      <vt:variant>
        <vt:lpwstr>a20</vt:lpwstr>
      </vt:variant>
      <vt:variant>
        <vt:i4>2162709</vt:i4>
      </vt:variant>
      <vt:variant>
        <vt:i4>1194</vt:i4>
      </vt:variant>
      <vt:variant>
        <vt:i4>0</vt:i4>
      </vt:variant>
      <vt:variant>
        <vt:i4>5</vt:i4>
      </vt:variant>
      <vt:variant>
        <vt:lpwstr>http://noticias.juridicas.com/base_datos/CCAA/538599-decreto-legislativo-2-2014-de-22-de-octubre-por-el-que-se-aprueba-el-texto.html</vt:lpwstr>
      </vt:variant>
      <vt:variant>
        <vt:lpwstr>a17</vt:lpwstr>
      </vt:variant>
      <vt:variant>
        <vt:i4>8192025</vt:i4>
      </vt:variant>
      <vt:variant>
        <vt:i4>1191</vt:i4>
      </vt:variant>
      <vt:variant>
        <vt:i4>0</vt:i4>
      </vt:variant>
      <vt:variant>
        <vt:i4>5</vt:i4>
      </vt:variant>
      <vt:variant>
        <vt:lpwstr>http://noticias.juridicas.com/base_datos/Fiscal/l29-1987.html</vt:lpwstr>
      </vt:variant>
      <vt:variant>
        <vt:lpwstr>a20</vt:lpwstr>
      </vt:variant>
      <vt:variant>
        <vt:i4>3735676</vt:i4>
      </vt:variant>
      <vt:variant>
        <vt:i4>1188</vt:i4>
      </vt:variant>
      <vt:variant>
        <vt:i4>0</vt:i4>
      </vt:variant>
      <vt:variant>
        <vt:i4>5</vt:i4>
      </vt:variant>
      <vt:variant>
        <vt:lpwstr>http://petete.minhap.gob.es/Scripts/know3.exe/tributos/CONSUVIN/texto.htm?NDoc=7280&amp;Consulta=%2EEN+FECHA%2DSALIDA+%28%32%34%2F%31%31%2F%3200%36%29&amp;Pos=10&amp;UD=1</vt:lpwstr>
      </vt:variant>
      <vt:variant>
        <vt:lpwstr/>
      </vt:variant>
      <vt:variant>
        <vt:i4>8060968</vt:i4>
      </vt:variant>
      <vt:variant>
        <vt:i4>1185</vt:i4>
      </vt:variant>
      <vt:variant>
        <vt:i4>0</vt:i4>
      </vt:variant>
      <vt:variant>
        <vt:i4>5</vt:i4>
      </vt:variant>
      <vt:variant>
        <vt:lpwstr>http://boe.es/boe/dias/2014/07/03/pdfs/BOE-A-2014-6983.pdf</vt:lpwstr>
      </vt:variant>
      <vt:variant>
        <vt:lpwstr/>
      </vt:variant>
      <vt:variant>
        <vt:i4>3539033</vt:i4>
      </vt:variant>
      <vt:variant>
        <vt:i4>1182</vt:i4>
      </vt:variant>
      <vt:variant>
        <vt:i4>0</vt:i4>
      </vt:variant>
      <vt:variant>
        <vt:i4>5</vt:i4>
      </vt:variant>
      <vt:variant>
        <vt:lpwstr>https://petete.minhafp.gob.es/consultas/?num_consulta=V3151-18</vt:lpwstr>
      </vt:variant>
      <vt:variant>
        <vt:lpwstr/>
      </vt:variant>
      <vt:variant>
        <vt:i4>8257596</vt:i4>
      </vt:variant>
      <vt:variant>
        <vt:i4>1179</vt:i4>
      </vt:variant>
      <vt:variant>
        <vt:i4>0</vt:i4>
      </vt:variant>
      <vt:variant>
        <vt:i4>5</vt:i4>
      </vt:variant>
      <vt:variant>
        <vt:lpwstr>http://www.poderjudicial.es/search/contenidos.action?action=contentpdf&amp;databasematch=TS&amp;reference=8307752&amp;links=&amp;optimize=20180305&amp;publicinterface=true</vt:lpwstr>
      </vt:variant>
      <vt:variant>
        <vt:lpwstr/>
      </vt:variant>
      <vt:variant>
        <vt:i4>6815797</vt:i4>
      </vt:variant>
      <vt:variant>
        <vt:i4>1176</vt:i4>
      </vt:variant>
      <vt:variant>
        <vt:i4>0</vt:i4>
      </vt:variant>
      <vt:variant>
        <vt:i4>5</vt:i4>
      </vt:variant>
      <vt:variant>
        <vt:lpwstr>http://curia.europa.eu/juris/document/document.jsf?text=&amp;docid=157285&amp;pageIndex=0&amp;doclang=es&amp;mode=req&amp;dir=&amp;occ=first&amp;part=1&amp;cid=225401</vt:lpwstr>
      </vt:variant>
      <vt:variant>
        <vt:lpwstr/>
      </vt:variant>
      <vt:variant>
        <vt:i4>3538993</vt:i4>
      </vt:variant>
      <vt:variant>
        <vt:i4>1173</vt:i4>
      </vt:variant>
      <vt:variant>
        <vt:i4>0</vt:i4>
      </vt:variant>
      <vt:variant>
        <vt:i4>5</vt:i4>
      </vt:variant>
      <vt:variant>
        <vt:lpwstr>http://www.registradorescantabria.com/boletines/BIT 163.pdf</vt:lpwstr>
      </vt:variant>
      <vt:variant>
        <vt:lpwstr/>
      </vt:variant>
      <vt:variant>
        <vt:i4>6815797</vt:i4>
      </vt:variant>
      <vt:variant>
        <vt:i4>1170</vt:i4>
      </vt:variant>
      <vt:variant>
        <vt:i4>0</vt:i4>
      </vt:variant>
      <vt:variant>
        <vt:i4>5</vt:i4>
      </vt:variant>
      <vt:variant>
        <vt:lpwstr>http://curia.europa.eu/juris/document/document.jsf?text=&amp;docid=157285&amp;pageIndex=0&amp;doclang=es&amp;mode=req&amp;dir=&amp;occ=first&amp;part=1&amp;cid=225401</vt:lpwstr>
      </vt:variant>
      <vt:variant>
        <vt:lpwstr/>
      </vt:variant>
      <vt:variant>
        <vt:i4>3014684</vt:i4>
      </vt:variant>
      <vt:variant>
        <vt:i4>1167</vt:i4>
      </vt:variant>
      <vt:variant>
        <vt:i4>0</vt:i4>
      </vt:variant>
      <vt:variant>
        <vt:i4>5</vt:i4>
      </vt:variant>
      <vt:variant>
        <vt:lpwstr>http://noticias.juridicas.com/base_datos/Fiscal/l29-1987.html</vt:lpwstr>
      </vt:variant>
      <vt:variant>
        <vt:lpwstr>da2</vt:lpwstr>
      </vt:variant>
      <vt:variant>
        <vt:i4>6815797</vt:i4>
      </vt:variant>
      <vt:variant>
        <vt:i4>1164</vt:i4>
      </vt:variant>
      <vt:variant>
        <vt:i4>0</vt:i4>
      </vt:variant>
      <vt:variant>
        <vt:i4>5</vt:i4>
      </vt:variant>
      <vt:variant>
        <vt:lpwstr>http://curia.europa.eu/juris/document/document.jsf?text=&amp;docid=157285&amp;pageIndex=0&amp;doclang=es&amp;mode=req&amp;dir=&amp;occ=first&amp;part=1&amp;cid=225401</vt:lpwstr>
      </vt:variant>
      <vt:variant>
        <vt:lpwstr/>
      </vt:variant>
      <vt:variant>
        <vt:i4>3014684</vt:i4>
      </vt:variant>
      <vt:variant>
        <vt:i4>1161</vt:i4>
      </vt:variant>
      <vt:variant>
        <vt:i4>0</vt:i4>
      </vt:variant>
      <vt:variant>
        <vt:i4>5</vt:i4>
      </vt:variant>
      <vt:variant>
        <vt:lpwstr>http://noticias.juridicas.com/base_datos/Fiscal/l29-1987.html</vt:lpwstr>
      </vt:variant>
      <vt:variant>
        <vt:lpwstr>da2</vt:lpwstr>
      </vt:variant>
      <vt:variant>
        <vt:i4>8257544</vt:i4>
      </vt:variant>
      <vt:variant>
        <vt:i4>1158</vt:i4>
      </vt:variant>
      <vt:variant>
        <vt:i4>0</vt:i4>
      </vt:variant>
      <vt:variant>
        <vt:i4>5</vt:i4>
      </vt:variant>
      <vt:variant>
        <vt:lpwstr>http://noticias.juridicas.com/base_datos/Fiscal/ircfranciaedi.html</vt:lpwstr>
      </vt:variant>
      <vt:variant>
        <vt:lpwstr/>
      </vt:variant>
      <vt:variant>
        <vt:i4>6815797</vt:i4>
      </vt:variant>
      <vt:variant>
        <vt:i4>1155</vt:i4>
      </vt:variant>
      <vt:variant>
        <vt:i4>0</vt:i4>
      </vt:variant>
      <vt:variant>
        <vt:i4>5</vt:i4>
      </vt:variant>
      <vt:variant>
        <vt:lpwstr>http://curia.europa.eu/juris/document/document.jsf?text=&amp;docid=157285&amp;pageIndex=0&amp;doclang=es&amp;mode=req&amp;dir=&amp;occ=first&amp;part=1&amp;cid=225401</vt:lpwstr>
      </vt:variant>
      <vt:variant>
        <vt:lpwstr/>
      </vt:variant>
      <vt:variant>
        <vt:i4>3538993</vt:i4>
      </vt:variant>
      <vt:variant>
        <vt:i4>1152</vt:i4>
      </vt:variant>
      <vt:variant>
        <vt:i4>0</vt:i4>
      </vt:variant>
      <vt:variant>
        <vt:i4>5</vt:i4>
      </vt:variant>
      <vt:variant>
        <vt:lpwstr>http://www.registradorescantabria.com/boletines/BIT 163.pdf</vt:lpwstr>
      </vt:variant>
      <vt:variant>
        <vt:lpwstr/>
      </vt:variant>
      <vt:variant>
        <vt:i4>2424887</vt:i4>
      </vt:variant>
      <vt:variant>
        <vt:i4>1149</vt:i4>
      </vt:variant>
      <vt:variant>
        <vt:i4>0</vt:i4>
      </vt:variant>
      <vt:variant>
        <vt:i4>5</vt:i4>
      </vt:variant>
      <vt:variant>
        <vt:lpwstr>http://www.tribunalconstitucional.es/es/jurisprudencia/Paginas/Sentencia.aspx?cod=21238</vt:lpwstr>
      </vt:variant>
      <vt:variant>
        <vt:lpwstr/>
      </vt:variant>
      <vt:variant>
        <vt:i4>2424887</vt:i4>
      </vt:variant>
      <vt:variant>
        <vt:i4>1146</vt:i4>
      </vt:variant>
      <vt:variant>
        <vt:i4>0</vt:i4>
      </vt:variant>
      <vt:variant>
        <vt:i4>5</vt:i4>
      </vt:variant>
      <vt:variant>
        <vt:lpwstr>http://www.tribunalconstitucional.es/es/jurisprudencia/Paginas/Sentencia.aspx?cod=21238</vt:lpwstr>
      </vt:variant>
      <vt:variant>
        <vt:lpwstr/>
      </vt:variant>
      <vt:variant>
        <vt:i4>6553713</vt:i4>
      </vt:variant>
      <vt:variant>
        <vt:i4>1143</vt:i4>
      </vt:variant>
      <vt:variant>
        <vt:i4>0</vt:i4>
      </vt:variant>
      <vt:variant>
        <vt:i4>5</vt:i4>
      </vt:variant>
      <vt:variant>
        <vt:lpwstr>http://petete.minhap.es/Scripts/know3.exe/tributos/CONSUVIN/texto.htm?NDoc=25334&amp;Consulta=%2EEN+FECHA%2DSALIDA+%280%36%2F0%32%2F%320%31%33%29&amp;Pos=1</vt:lpwstr>
      </vt:variant>
      <vt:variant>
        <vt:lpwstr/>
      </vt:variant>
      <vt:variant>
        <vt:i4>8192025</vt:i4>
      </vt:variant>
      <vt:variant>
        <vt:i4>1140</vt:i4>
      </vt:variant>
      <vt:variant>
        <vt:i4>0</vt:i4>
      </vt:variant>
      <vt:variant>
        <vt:i4>5</vt:i4>
      </vt:variant>
      <vt:variant>
        <vt:lpwstr>http://noticias.juridicas.com/base_datos/Fiscal/l29-1987.html</vt:lpwstr>
      </vt:variant>
      <vt:variant>
        <vt:lpwstr>a20</vt:lpwstr>
      </vt:variant>
      <vt:variant>
        <vt:i4>8192025</vt:i4>
      </vt:variant>
      <vt:variant>
        <vt:i4>1137</vt:i4>
      </vt:variant>
      <vt:variant>
        <vt:i4>0</vt:i4>
      </vt:variant>
      <vt:variant>
        <vt:i4>5</vt:i4>
      </vt:variant>
      <vt:variant>
        <vt:lpwstr>http://noticias.juridicas.com/base_datos/Fiscal/l29-1987.html</vt:lpwstr>
      </vt:variant>
      <vt:variant>
        <vt:lpwstr>a20</vt:lpwstr>
      </vt:variant>
      <vt:variant>
        <vt:i4>8192025</vt:i4>
      </vt:variant>
      <vt:variant>
        <vt:i4>1134</vt:i4>
      </vt:variant>
      <vt:variant>
        <vt:i4>0</vt:i4>
      </vt:variant>
      <vt:variant>
        <vt:i4>5</vt:i4>
      </vt:variant>
      <vt:variant>
        <vt:lpwstr>http://noticias.juridicas.com/base_datos/Fiscal/l29-1987.html</vt:lpwstr>
      </vt:variant>
      <vt:variant>
        <vt:lpwstr>a20</vt:lpwstr>
      </vt:variant>
      <vt:variant>
        <vt:i4>8192025</vt:i4>
      </vt:variant>
      <vt:variant>
        <vt:i4>1131</vt:i4>
      </vt:variant>
      <vt:variant>
        <vt:i4>0</vt:i4>
      </vt:variant>
      <vt:variant>
        <vt:i4>5</vt:i4>
      </vt:variant>
      <vt:variant>
        <vt:lpwstr>http://noticias.juridicas.com/base_datos/Fiscal/l29-1987.html</vt:lpwstr>
      </vt:variant>
      <vt:variant>
        <vt:lpwstr>a20</vt:lpwstr>
      </vt:variant>
      <vt:variant>
        <vt:i4>1507370</vt:i4>
      </vt:variant>
      <vt:variant>
        <vt:i4>1128</vt:i4>
      </vt:variant>
      <vt:variant>
        <vt:i4>0</vt:i4>
      </vt:variant>
      <vt:variant>
        <vt:i4>5</vt:i4>
      </vt:variant>
      <vt:variant>
        <vt:lpwstr>http://noticias.juridicas.com/base_datos/CCAA/601447-l-7-2017-de-30-jun-ca-asturias-tercera-modificacion-del-texto-refundido-de.html</vt:lpwstr>
      </vt:variant>
      <vt:variant>
        <vt:lpwstr/>
      </vt:variant>
      <vt:variant>
        <vt:i4>5898318</vt:i4>
      </vt:variant>
      <vt:variant>
        <vt:i4>1125</vt:i4>
      </vt:variant>
      <vt:variant>
        <vt:i4>0</vt:i4>
      </vt:variant>
      <vt:variant>
        <vt:i4>5</vt:i4>
      </vt:variant>
      <vt:variant>
        <vt:lpwstr>https://www.poderjudicial.es/search/AN/openDocument/4b68724b0583377a/20090408</vt:lpwstr>
      </vt:variant>
      <vt:variant>
        <vt:lpwstr/>
      </vt:variant>
      <vt:variant>
        <vt:i4>4718712</vt:i4>
      </vt:variant>
      <vt:variant>
        <vt:i4>1122</vt:i4>
      </vt:variant>
      <vt:variant>
        <vt:i4>0</vt:i4>
      </vt:variant>
      <vt:variant>
        <vt:i4>5</vt:i4>
      </vt:variant>
      <vt:variant>
        <vt:lpwstr>http://noticias.juridicas.com/base_datos/Fiscal/l22-2009.html</vt:lpwstr>
      </vt:variant>
      <vt:variant>
        <vt:lpwstr/>
      </vt:variant>
      <vt:variant>
        <vt:i4>3932251</vt:i4>
      </vt:variant>
      <vt:variant>
        <vt:i4>1119</vt:i4>
      </vt:variant>
      <vt:variant>
        <vt:i4>0</vt:i4>
      </vt:variant>
      <vt:variant>
        <vt:i4>5</vt:i4>
      </vt:variant>
      <vt:variant>
        <vt:lpwstr>http://noticias.juridicas.com/base_datos/Fiscal/l22-2009.t3.html</vt:lpwstr>
      </vt:variant>
      <vt:variant>
        <vt:lpwstr>a32</vt:lpwstr>
      </vt:variant>
      <vt:variant>
        <vt:i4>3997787</vt:i4>
      </vt:variant>
      <vt:variant>
        <vt:i4>1116</vt:i4>
      </vt:variant>
      <vt:variant>
        <vt:i4>0</vt:i4>
      </vt:variant>
      <vt:variant>
        <vt:i4>5</vt:i4>
      </vt:variant>
      <vt:variant>
        <vt:lpwstr>http://noticias.juridicas.com/base_datos/Fiscal/l22-2009.t3.html</vt:lpwstr>
      </vt:variant>
      <vt:variant>
        <vt:lpwstr>a28</vt:lpwstr>
      </vt:variant>
      <vt:variant>
        <vt:i4>4522101</vt:i4>
      </vt:variant>
      <vt:variant>
        <vt:i4>1113</vt:i4>
      </vt:variant>
      <vt:variant>
        <vt:i4>0</vt:i4>
      </vt:variant>
      <vt:variant>
        <vt:i4>5</vt:i4>
      </vt:variant>
      <vt:variant>
        <vt:lpwstr>http://noticias.juridicas.com/base_datos/CCAA/r4-538599-decreto-legislativo-2-2014-de-22-de-octubre-por-el-que-se-aprueba-el-texto.html</vt:lpwstr>
      </vt:variant>
      <vt:variant>
        <vt:lpwstr>a21</vt:lpwstr>
      </vt:variant>
      <vt:variant>
        <vt:i4>4849702</vt:i4>
      </vt:variant>
      <vt:variant>
        <vt:i4>1110</vt:i4>
      </vt:variant>
      <vt:variant>
        <vt:i4>0</vt:i4>
      </vt:variant>
      <vt:variant>
        <vt:i4>5</vt:i4>
      </vt:variant>
      <vt:variant>
        <vt:lpwstr>http://noticias.juridicas.com/base_datos/Fiscal/l29-1987.html</vt:lpwstr>
      </vt:variant>
      <vt:variant>
        <vt:lpwstr>I277</vt:lpwstr>
      </vt:variant>
      <vt:variant>
        <vt:i4>1048692</vt:i4>
      </vt:variant>
      <vt:variant>
        <vt:i4>1107</vt:i4>
      </vt:variant>
      <vt:variant>
        <vt:i4>0</vt:i4>
      </vt:variant>
      <vt:variant>
        <vt:i4>5</vt:i4>
      </vt:variant>
      <vt:variant>
        <vt:lpwstr>http://noticias.juridicas.com/base_datos/CCAA/538599-decreto-legislativo-2-2014-de-22-de-octubre-por-el-que-se-aprueba-el-texto.html</vt:lpwstr>
      </vt:variant>
      <vt:variant>
        <vt:lpwstr/>
      </vt:variant>
      <vt:variant>
        <vt:i4>3276852</vt:i4>
      </vt:variant>
      <vt:variant>
        <vt:i4>1104</vt:i4>
      </vt:variant>
      <vt:variant>
        <vt:i4>0</vt:i4>
      </vt:variant>
      <vt:variant>
        <vt:i4>5</vt:i4>
      </vt:variant>
      <vt:variant>
        <vt:lpwstr>https://docs.google.com/viewer?a=v&amp;pid=sites&amp;srcid=ZGVmYXVsdGRvbWFpbnxsZXZhbnRlbm90fGd4OjJmZWNiZTQwZTI4OGRkMTA</vt:lpwstr>
      </vt:variant>
      <vt:variant>
        <vt:lpwstr/>
      </vt:variant>
      <vt:variant>
        <vt:i4>2228245</vt:i4>
      </vt:variant>
      <vt:variant>
        <vt:i4>1101</vt:i4>
      </vt:variant>
      <vt:variant>
        <vt:i4>0</vt:i4>
      </vt:variant>
      <vt:variant>
        <vt:i4>5</vt:i4>
      </vt:variant>
      <vt:variant>
        <vt:lpwstr>http://noticias.juridicas.com/base_datos/CCAA/538599-decreto-legislativo-2-2014-de-22-de-octubre-por-el-que-se-aprueba-el-texto.html</vt:lpwstr>
      </vt:variant>
      <vt:variant>
        <vt:lpwstr>a24</vt:lpwstr>
      </vt:variant>
      <vt:variant>
        <vt:i4>8060952</vt:i4>
      </vt:variant>
      <vt:variant>
        <vt:i4>1098</vt:i4>
      </vt:variant>
      <vt:variant>
        <vt:i4>0</vt:i4>
      </vt:variant>
      <vt:variant>
        <vt:i4>5</vt:i4>
      </vt:variant>
      <vt:variant>
        <vt:lpwstr>http://noticias.juridicas.com/base_datos/Fiscal/l19-1991.html</vt:lpwstr>
      </vt:variant>
      <vt:variant>
        <vt:lpwstr>a12</vt:lpwstr>
      </vt:variant>
      <vt:variant>
        <vt:i4>6160502</vt:i4>
      </vt:variant>
      <vt:variant>
        <vt:i4>1095</vt:i4>
      </vt:variant>
      <vt:variant>
        <vt:i4>0</vt:i4>
      </vt:variant>
      <vt:variant>
        <vt:i4>5</vt:i4>
      </vt:variant>
      <vt:variant>
        <vt:lpwstr>https://noticias.juridicas.com/base_datos/CCAA/538599-decreto-legislativo-2-2014-de-22-de-octubre-por-el-que-se-aprueba-el-texto.html</vt:lpwstr>
      </vt:variant>
      <vt:variant>
        <vt:lpwstr>a21</vt:lpwstr>
      </vt:variant>
      <vt:variant>
        <vt:i4>1507370</vt:i4>
      </vt:variant>
      <vt:variant>
        <vt:i4>1092</vt:i4>
      </vt:variant>
      <vt:variant>
        <vt:i4>0</vt:i4>
      </vt:variant>
      <vt:variant>
        <vt:i4>5</vt:i4>
      </vt:variant>
      <vt:variant>
        <vt:lpwstr>http://noticias.juridicas.com/base_datos/CCAA/601447-l-7-2017-de-30-jun-ca-asturias-tercera-modificacion-del-texto-refundido-de.html</vt:lpwstr>
      </vt:variant>
      <vt:variant>
        <vt:lpwstr/>
      </vt:variant>
      <vt:variant>
        <vt:i4>4522101</vt:i4>
      </vt:variant>
      <vt:variant>
        <vt:i4>1089</vt:i4>
      </vt:variant>
      <vt:variant>
        <vt:i4>0</vt:i4>
      </vt:variant>
      <vt:variant>
        <vt:i4>5</vt:i4>
      </vt:variant>
      <vt:variant>
        <vt:lpwstr>http://noticias.juridicas.com/base_datos/CCAA/r4-538599-decreto-legislativo-2-2014-de-22-de-octubre-por-el-que-se-aprueba-el-texto.html</vt:lpwstr>
      </vt:variant>
      <vt:variant>
        <vt:lpwstr>a21</vt:lpwstr>
      </vt:variant>
      <vt:variant>
        <vt:i4>2228245</vt:i4>
      </vt:variant>
      <vt:variant>
        <vt:i4>1086</vt:i4>
      </vt:variant>
      <vt:variant>
        <vt:i4>0</vt:i4>
      </vt:variant>
      <vt:variant>
        <vt:i4>5</vt:i4>
      </vt:variant>
      <vt:variant>
        <vt:lpwstr>http://noticias.juridicas.com/base_datos/CCAA/538599-decreto-legislativo-2-2014-de-22-de-octubre-por-el-que-se-aprueba-el-texto.html</vt:lpwstr>
      </vt:variant>
      <vt:variant>
        <vt:lpwstr>a21</vt:lpwstr>
      </vt:variant>
      <vt:variant>
        <vt:i4>2228245</vt:i4>
      </vt:variant>
      <vt:variant>
        <vt:i4>1083</vt:i4>
      </vt:variant>
      <vt:variant>
        <vt:i4>0</vt:i4>
      </vt:variant>
      <vt:variant>
        <vt:i4>5</vt:i4>
      </vt:variant>
      <vt:variant>
        <vt:lpwstr>http://noticias.juridicas.com/base_datos/CCAA/538599-decreto-legislativo-2-2014-de-22-de-octubre-por-el-que-se-aprueba-el-texto.html</vt:lpwstr>
      </vt:variant>
      <vt:variant>
        <vt:lpwstr>a20</vt:lpwstr>
      </vt:variant>
      <vt:variant>
        <vt:i4>2228245</vt:i4>
      </vt:variant>
      <vt:variant>
        <vt:i4>1080</vt:i4>
      </vt:variant>
      <vt:variant>
        <vt:i4>0</vt:i4>
      </vt:variant>
      <vt:variant>
        <vt:i4>5</vt:i4>
      </vt:variant>
      <vt:variant>
        <vt:lpwstr>http://noticias.juridicas.com/base_datos/CCAA/538599-decreto-legislativo-2-2014-de-22-de-octubre-por-el-que-se-aprueba-el-texto.html</vt:lpwstr>
      </vt:variant>
      <vt:variant>
        <vt:lpwstr>a20</vt:lpwstr>
      </vt:variant>
      <vt:variant>
        <vt:i4>3473454</vt:i4>
      </vt:variant>
      <vt:variant>
        <vt:i4>1077</vt:i4>
      </vt:variant>
      <vt:variant>
        <vt:i4>0</vt:i4>
      </vt:variant>
      <vt:variant>
        <vt:i4>5</vt:i4>
      </vt:variant>
      <vt:variant>
        <vt:lpwstr>chrome-extension://efaidnbmnnnibpcajpcglclefindmkaj/https:/www.gipuzkoa.eus/documents/2456431/2847867/NF+2-2022+%282025%29.pdf/1cee10a6-b9b2-a684-a2af-5a5cd3ad5445?t=1747374346843</vt:lpwstr>
      </vt:variant>
      <vt:variant>
        <vt:lpwstr/>
      </vt:variant>
      <vt:variant>
        <vt:i4>3473460</vt:i4>
      </vt:variant>
      <vt:variant>
        <vt:i4>1074</vt:i4>
      </vt:variant>
      <vt:variant>
        <vt:i4>0</vt:i4>
      </vt:variant>
      <vt:variant>
        <vt:i4>5</vt:i4>
      </vt:variant>
      <vt:variant>
        <vt:lpwstr>chrome-extension://efaidnbmnnnibpcajpcglclefindmkaj/https:/www.bizkaia.eus/documents/880307/15187815/ca_4_2015.pdf/b6d32212-4007-7fff-588f-207247783372?t=1746431810761</vt:lpwstr>
      </vt:variant>
      <vt:variant>
        <vt:lpwstr/>
      </vt:variant>
      <vt:variant>
        <vt:i4>5898241</vt:i4>
      </vt:variant>
      <vt:variant>
        <vt:i4>1071</vt:i4>
      </vt:variant>
      <vt:variant>
        <vt:i4>0</vt:i4>
      </vt:variant>
      <vt:variant>
        <vt:i4>5</vt:i4>
      </vt:variant>
      <vt:variant>
        <vt:lpwstr>https://www.iberley.es/legislacion/articulo-36-impuesto-sobre-sucesiones-donaciones-alava</vt:lpwstr>
      </vt:variant>
      <vt:variant>
        <vt:lpwstr/>
      </vt:variant>
      <vt:variant>
        <vt:i4>4718662</vt:i4>
      </vt:variant>
      <vt:variant>
        <vt:i4>1068</vt:i4>
      </vt:variant>
      <vt:variant>
        <vt:i4>0</vt:i4>
      </vt:variant>
      <vt:variant>
        <vt:i4>5</vt:i4>
      </vt:variant>
      <vt:variant>
        <vt:lpwstr>https://www.navarra.es/NR/rdonlyres/A6C156D7-C06D-4D45-8B9F-4C3B4AB5BE40/0/LeySuchtmv21.html?v=v20250101</vt:lpwstr>
      </vt:variant>
      <vt:variant>
        <vt:lpwstr/>
      </vt:variant>
      <vt:variant>
        <vt:i4>131111</vt:i4>
      </vt:variant>
      <vt:variant>
        <vt:i4>1065</vt:i4>
      </vt:variant>
      <vt:variant>
        <vt:i4>0</vt:i4>
      </vt:variant>
      <vt:variant>
        <vt:i4>5</vt:i4>
      </vt:variant>
      <vt:variant>
        <vt:lpwstr>https://petete.tributos.hacienda.gob.es/consultas/?num_consulta=V0145-12</vt:lpwstr>
      </vt:variant>
      <vt:variant>
        <vt:lpwstr/>
      </vt:variant>
      <vt:variant>
        <vt:i4>3670121</vt:i4>
      </vt:variant>
      <vt:variant>
        <vt:i4>1062</vt:i4>
      </vt:variant>
      <vt:variant>
        <vt:i4>0</vt:i4>
      </vt:variant>
      <vt:variant>
        <vt:i4>5</vt:i4>
      </vt:variant>
      <vt:variant>
        <vt:lpwstr>https://serviciostelematicosext.hacienda.gob.es/TEAC/DYCTEA/criterio.aspx?id=00/00365/2010/00/0/1&amp;q=s%3d1%26rs%3d%26rn%3d%26ra%3d%26fd%3d06%2f10%2f2010%26fh%3d06%2f10%2f2010%26u%3d%26n%3d%26p%3d%26c1%3d%26c2%3d%26c3%3d%26tc%3d1%26tr%3d%26tp%3d%26tf%3d%26c%3d2%26pg%3d</vt:lpwstr>
      </vt:variant>
      <vt:variant>
        <vt:lpwstr/>
      </vt:variant>
      <vt:variant>
        <vt:i4>4587560</vt:i4>
      </vt:variant>
      <vt:variant>
        <vt:i4>1059</vt:i4>
      </vt:variant>
      <vt:variant>
        <vt:i4>0</vt:i4>
      </vt:variant>
      <vt:variant>
        <vt:i4>5</vt:i4>
      </vt:variant>
      <vt:variant>
        <vt:lpwstr>https://noticias.juridicas.com/base_datos/Fiscal/rd1629-1991.t1.html</vt:lpwstr>
      </vt:variant>
      <vt:variant>
        <vt:lpwstr>a61</vt:lpwstr>
      </vt:variant>
      <vt:variant>
        <vt:i4>4063301</vt:i4>
      </vt:variant>
      <vt:variant>
        <vt:i4>1056</vt:i4>
      </vt:variant>
      <vt:variant>
        <vt:i4>0</vt:i4>
      </vt:variant>
      <vt:variant>
        <vt:i4>5</vt:i4>
      </vt:variant>
      <vt:variant>
        <vt:lpwstr>https://noticias.juridicas.com/base_datos/Fiscal/l29-1987.html</vt:lpwstr>
      </vt:variant>
      <vt:variant>
        <vt:lpwstr>a22</vt:lpwstr>
      </vt:variant>
      <vt:variant>
        <vt:i4>4128837</vt:i4>
      </vt:variant>
      <vt:variant>
        <vt:i4>1053</vt:i4>
      </vt:variant>
      <vt:variant>
        <vt:i4>0</vt:i4>
      </vt:variant>
      <vt:variant>
        <vt:i4>5</vt:i4>
      </vt:variant>
      <vt:variant>
        <vt:lpwstr>https://noticias.juridicas.com/base_datos/Fiscal/l29-1987.html</vt:lpwstr>
      </vt:variant>
      <vt:variant>
        <vt:lpwstr>a30</vt:lpwstr>
      </vt:variant>
      <vt:variant>
        <vt:i4>4128837</vt:i4>
      </vt:variant>
      <vt:variant>
        <vt:i4>1050</vt:i4>
      </vt:variant>
      <vt:variant>
        <vt:i4>0</vt:i4>
      </vt:variant>
      <vt:variant>
        <vt:i4>5</vt:i4>
      </vt:variant>
      <vt:variant>
        <vt:lpwstr>https://noticias.juridicas.com/base_datos/Fiscal/l29-1987.html</vt:lpwstr>
      </vt:variant>
      <vt:variant>
        <vt:lpwstr>a30</vt:lpwstr>
      </vt:variant>
      <vt:variant>
        <vt:i4>4128837</vt:i4>
      </vt:variant>
      <vt:variant>
        <vt:i4>1047</vt:i4>
      </vt:variant>
      <vt:variant>
        <vt:i4>0</vt:i4>
      </vt:variant>
      <vt:variant>
        <vt:i4>5</vt:i4>
      </vt:variant>
      <vt:variant>
        <vt:lpwstr>https://noticias.juridicas.com/base_datos/Fiscal/l29-1987.html</vt:lpwstr>
      </vt:variant>
      <vt:variant>
        <vt:lpwstr>a30</vt:lpwstr>
      </vt:variant>
      <vt:variant>
        <vt:i4>1507429</vt:i4>
      </vt:variant>
      <vt:variant>
        <vt:i4>1044</vt:i4>
      </vt:variant>
      <vt:variant>
        <vt:i4>0</vt:i4>
      </vt:variant>
      <vt:variant>
        <vt:i4>5</vt:i4>
      </vt:variant>
      <vt:variant>
        <vt:lpwstr>http://noticias.juridicas.com/base_datos/Fiscal/rd1629-1991.t1.html</vt:lpwstr>
      </vt:variant>
      <vt:variant>
        <vt:lpwstr>a51</vt:lpwstr>
      </vt:variant>
      <vt:variant>
        <vt:i4>5898364</vt:i4>
      </vt:variant>
      <vt:variant>
        <vt:i4>1041</vt:i4>
      </vt:variant>
      <vt:variant>
        <vt:i4>0</vt:i4>
      </vt:variant>
      <vt:variant>
        <vt:i4>5</vt:i4>
      </vt:variant>
      <vt:variant>
        <vt:lpwstr>http://noticias.juridicas.com/base_datos/Fiscal/rd828-1995.t2.html</vt:lpwstr>
      </vt:variant>
      <vt:variant>
        <vt:lpwstr>a42</vt:lpwstr>
      </vt:variant>
      <vt:variant>
        <vt:i4>7667779</vt:i4>
      </vt:variant>
      <vt:variant>
        <vt:i4>1038</vt:i4>
      </vt:variant>
      <vt:variant>
        <vt:i4>0</vt:i4>
      </vt:variant>
      <vt:variant>
        <vt:i4>5</vt:i4>
      </vt:variant>
      <vt:variant>
        <vt:lpwstr>http://noticias.juridicas.com/base_datos/Admin/rdleg2-2004.t2.html</vt:lpwstr>
      </vt:variant>
      <vt:variant>
        <vt:lpwstr>a104</vt:lpwstr>
      </vt:variant>
      <vt:variant>
        <vt:i4>720927</vt:i4>
      </vt:variant>
      <vt:variant>
        <vt:i4>1035</vt:i4>
      </vt:variant>
      <vt:variant>
        <vt:i4>0</vt:i4>
      </vt:variant>
      <vt:variant>
        <vt:i4>5</vt:i4>
      </vt:variant>
      <vt:variant>
        <vt:lpwstr>https://www.poderjudicial.es/search/AN/openDocument/fdb2fd148a82a180a0a8778d75e36f0d/20240426</vt:lpwstr>
      </vt:variant>
      <vt:variant>
        <vt:lpwstr/>
      </vt:variant>
      <vt:variant>
        <vt:i4>1441895</vt:i4>
      </vt:variant>
      <vt:variant>
        <vt:i4>1032</vt:i4>
      </vt:variant>
      <vt:variant>
        <vt:i4>0</vt:i4>
      </vt:variant>
      <vt:variant>
        <vt:i4>5</vt:i4>
      </vt:variant>
      <vt:variant>
        <vt:lpwstr>https://noticias.juridicas.com/base_datos/Fiscal/l35-2006.t3.html</vt:lpwstr>
      </vt:variant>
      <vt:variant>
        <vt:lpwstr>a36</vt:lpwstr>
      </vt:variant>
      <vt:variant>
        <vt:i4>524310</vt:i4>
      </vt:variant>
      <vt:variant>
        <vt:i4>1029</vt:i4>
      </vt:variant>
      <vt:variant>
        <vt:i4>0</vt:i4>
      </vt:variant>
      <vt:variant>
        <vt:i4>5</vt:i4>
      </vt:variant>
      <vt:variant>
        <vt:lpwstr>https://www.poderjudicial.es/search/AN/openDocument/f8988b0d7f6147b3a0a8778d75e36f0d/20221116</vt:lpwstr>
      </vt:variant>
      <vt:variant>
        <vt:lpwstr/>
      </vt:variant>
      <vt:variant>
        <vt:i4>1441895</vt:i4>
      </vt:variant>
      <vt:variant>
        <vt:i4>1026</vt:i4>
      </vt:variant>
      <vt:variant>
        <vt:i4>0</vt:i4>
      </vt:variant>
      <vt:variant>
        <vt:i4>5</vt:i4>
      </vt:variant>
      <vt:variant>
        <vt:lpwstr>https://noticias.juridicas.com/base_datos/Fiscal/l35-2006.t3.html</vt:lpwstr>
      </vt:variant>
      <vt:variant>
        <vt:lpwstr>a33</vt:lpwstr>
      </vt:variant>
      <vt:variant>
        <vt:i4>1441895</vt:i4>
      </vt:variant>
      <vt:variant>
        <vt:i4>1023</vt:i4>
      </vt:variant>
      <vt:variant>
        <vt:i4>0</vt:i4>
      </vt:variant>
      <vt:variant>
        <vt:i4>5</vt:i4>
      </vt:variant>
      <vt:variant>
        <vt:lpwstr>https://noticias.juridicas.com/base_datos/Fiscal/l35-2006.t3.html</vt:lpwstr>
      </vt:variant>
      <vt:variant>
        <vt:lpwstr>a33</vt:lpwstr>
      </vt:variant>
      <vt:variant>
        <vt:i4>6881354</vt:i4>
      </vt:variant>
      <vt:variant>
        <vt:i4>1020</vt:i4>
      </vt:variant>
      <vt:variant>
        <vt:i4>0</vt:i4>
      </vt:variant>
      <vt:variant>
        <vt:i4>5</vt:i4>
      </vt:variant>
      <vt:variant>
        <vt:lpwstr>http://noticias.juridicas.com/base_datos/Fiscal/rdleg5-2004.html</vt:lpwstr>
      </vt:variant>
      <vt:variant>
        <vt:lpwstr>a25</vt:lpwstr>
      </vt:variant>
      <vt:variant>
        <vt:i4>7798819</vt:i4>
      </vt:variant>
      <vt:variant>
        <vt:i4>1017</vt:i4>
      </vt:variant>
      <vt:variant>
        <vt:i4>0</vt:i4>
      </vt:variant>
      <vt:variant>
        <vt:i4>5</vt:i4>
      </vt:variant>
      <vt:variant>
        <vt:lpwstr>http://petete.meh.es/Scripts/know3.exe/tributos/CONSUVIN/texto.htm?NDoc=11704&amp;Consulta=donaci%F3n+onerosa&amp;Pos=1</vt:lpwstr>
      </vt:variant>
      <vt:variant>
        <vt:lpwstr/>
      </vt:variant>
      <vt:variant>
        <vt:i4>6946873</vt:i4>
      </vt:variant>
      <vt:variant>
        <vt:i4>1014</vt:i4>
      </vt:variant>
      <vt:variant>
        <vt:i4>0</vt:i4>
      </vt:variant>
      <vt:variant>
        <vt:i4>5</vt:i4>
      </vt:variant>
      <vt:variant>
        <vt:lpwstr>http://petete.meh.es/Scripts/know3.exe/tributos/CONSUVIN/texto.htm?NDoc=8518&amp;Consulta=donaci%F3n+onerosa&amp;Pos=0</vt:lpwstr>
      </vt:variant>
      <vt:variant>
        <vt:lpwstr/>
      </vt:variant>
      <vt:variant>
        <vt:i4>3932251</vt:i4>
      </vt:variant>
      <vt:variant>
        <vt:i4>1011</vt:i4>
      </vt:variant>
      <vt:variant>
        <vt:i4>0</vt:i4>
      </vt:variant>
      <vt:variant>
        <vt:i4>5</vt:i4>
      </vt:variant>
      <vt:variant>
        <vt:lpwstr>http://noticias.juridicas.com/base_datos/Fiscal/l22-2009.t3.html</vt:lpwstr>
      </vt:variant>
      <vt:variant>
        <vt:lpwstr>a32</vt:lpwstr>
      </vt:variant>
      <vt:variant>
        <vt:i4>4718712</vt:i4>
      </vt:variant>
      <vt:variant>
        <vt:i4>1008</vt:i4>
      </vt:variant>
      <vt:variant>
        <vt:i4>0</vt:i4>
      </vt:variant>
      <vt:variant>
        <vt:i4>5</vt:i4>
      </vt:variant>
      <vt:variant>
        <vt:lpwstr>http://noticias.juridicas.com/base_datos/Fiscal/l22-2009.html</vt:lpwstr>
      </vt:variant>
      <vt:variant>
        <vt:lpwstr/>
      </vt:variant>
      <vt:variant>
        <vt:i4>3932251</vt:i4>
      </vt:variant>
      <vt:variant>
        <vt:i4>1005</vt:i4>
      </vt:variant>
      <vt:variant>
        <vt:i4>0</vt:i4>
      </vt:variant>
      <vt:variant>
        <vt:i4>5</vt:i4>
      </vt:variant>
      <vt:variant>
        <vt:lpwstr>http://noticias.juridicas.com/base_datos/Fiscal/l22-2009.t3.html</vt:lpwstr>
      </vt:variant>
      <vt:variant>
        <vt:lpwstr>a32</vt:lpwstr>
      </vt:variant>
      <vt:variant>
        <vt:i4>3997787</vt:i4>
      </vt:variant>
      <vt:variant>
        <vt:i4>1002</vt:i4>
      </vt:variant>
      <vt:variant>
        <vt:i4>0</vt:i4>
      </vt:variant>
      <vt:variant>
        <vt:i4>5</vt:i4>
      </vt:variant>
      <vt:variant>
        <vt:lpwstr>http://noticias.juridicas.com/base_datos/Fiscal/l22-2009.t3.html</vt:lpwstr>
      </vt:variant>
      <vt:variant>
        <vt:lpwstr>a28</vt:lpwstr>
      </vt:variant>
      <vt:variant>
        <vt:i4>3014684</vt:i4>
      </vt:variant>
      <vt:variant>
        <vt:i4>999</vt:i4>
      </vt:variant>
      <vt:variant>
        <vt:i4>0</vt:i4>
      </vt:variant>
      <vt:variant>
        <vt:i4>5</vt:i4>
      </vt:variant>
      <vt:variant>
        <vt:lpwstr>http://noticias.juridicas.com/base_datos/Fiscal/l29-1987.html</vt:lpwstr>
      </vt:variant>
      <vt:variant>
        <vt:lpwstr>da2</vt:lpwstr>
      </vt:variant>
      <vt:variant>
        <vt:i4>7012409</vt:i4>
      </vt:variant>
      <vt:variant>
        <vt:i4>996</vt:i4>
      </vt:variant>
      <vt:variant>
        <vt:i4>0</vt:i4>
      </vt:variant>
      <vt:variant>
        <vt:i4>5</vt:i4>
      </vt:variant>
      <vt:variant>
        <vt:lpwstr>https://sede.asturias.es/bopa-disposiciones?p_p_id=pa_sede_bopa_web_portlet_SedeBopaDispositionWeb&amp;p_p_lifecycle=0&amp;_pa_sede_bopa_web_portlet_SedeBopaDispositionWeb_mvcRenderCommandName=%2Fdisposition%2Fdetail&amp;p_r_p_dispositionText=2024-11573&amp;p_r_p_dispositionReference=2024-11573&amp;p_r_p_dispositionDate=31%2F12%2F2024</vt:lpwstr>
      </vt:variant>
      <vt:variant>
        <vt:lpwstr/>
      </vt:variant>
      <vt:variant>
        <vt:i4>7012409</vt:i4>
      </vt:variant>
      <vt:variant>
        <vt:i4>993</vt:i4>
      </vt:variant>
      <vt:variant>
        <vt:i4>0</vt:i4>
      </vt:variant>
      <vt:variant>
        <vt:i4>5</vt:i4>
      </vt:variant>
      <vt:variant>
        <vt:lpwstr>https://sede.asturias.es/bopa-disposiciones?p_p_id=pa_sede_bopa_web_portlet_SedeBopaDispositionWeb&amp;p_p_lifecycle=0&amp;_pa_sede_bopa_web_portlet_SedeBopaDispositionWeb_mvcRenderCommandName=%2Fdisposition%2Fdetail&amp;p_r_p_dispositionText=2024-11573&amp;p_r_p_dispositionReference=2024-11573&amp;p_r_p_dispositionDate=31%2F12%2F2024</vt:lpwstr>
      </vt:variant>
      <vt:variant>
        <vt:lpwstr/>
      </vt:variant>
      <vt:variant>
        <vt:i4>2293781</vt:i4>
      </vt:variant>
      <vt:variant>
        <vt:i4>990</vt:i4>
      </vt:variant>
      <vt:variant>
        <vt:i4>0</vt:i4>
      </vt:variant>
      <vt:variant>
        <vt:i4>5</vt:i4>
      </vt:variant>
      <vt:variant>
        <vt:lpwstr>http://noticias.juridicas.com/base_datos/CCAA/538599-decreto-legislativo-2-2014-de-22-de-octubre-por-el-que-se-aprueba-el-texto.html</vt:lpwstr>
      </vt:variant>
      <vt:variant>
        <vt:lpwstr>a39</vt:lpwstr>
      </vt:variant>
      <vt:variant>
        <vt:i4>2293781</vt:i4>
      </vt:variant>
      <vt:variant>
        <vt:i4>987</vt:i4>
      </vt:variant>
      <vt:variant>
        <vt:i4>0</vt:i4>
      </vt:variant>
      <vt:variant>
        <vt:i4>5</vt:i4>
      </vt:variant>
      <vt:variant>
        <vt:lpwstr>http://noticias.juridicas.com/base_datos/CCAA/538599-decreto-legislativo-2-2014-de-22-de-octubre-por-el-que-se-aprueba-el-texto.html</vt:lpwstr>
      </vt:variant>
      <vt:variant>
        <vt:lpwstr>a37</vt:lpwstr>
      </vt:variant>
      <vt:variant>
        <vt:i4>2293781</vt:i4>
      </vt:variant>
      <vt:variant>
        <vt:i4>984</vt:i4>
      </vt:variant>
      <vt:variant>
        <vt:i4>0</vt:i4>
      </vt:variant>
      <vt:variant>
        <vt:i4>5</vt:i4>
      </vt:variant>
      <vt:variant>
        <vt:lpwstr>http://noticias.juridicas.com/base_datos/CCAA/538599-decreto-legislativo-2-2014-de-22-de-octubre-por-el-que-se-aprueba-el-texto.html</vt:lpwstr>
      </vt:variant>
      <vt:variant>
        <vt:lpwstr>a31</vt:lpwstr>
      </vt:variant>
      <vt:variant>
        <vt:i4>393281</vt:i4>
      </vt:variant>
      <vt:variant>
        <vt:i4>981</vt:i4>
      </vt:variant>
      <vt:variant>
        <vt:i4>0</vt:i4>
      </vt:variant>
      <vt:variant>
        <vt:i4>5</vt:i4>
      </vt:variant>
      <vt:variant>
        <vt:lpwstr>https://www.boe.es/boe/dias/2018/11/09/pdfs/BOE-A-2018-15344.pdf</vt:lpwstr>
      </vt:variant>
      <vt:variant>
        <vt:lpwstr/>
      </vt:variant>
      <vt:variant>
        <vt:i4>4259873</vt:i4>
      </vt:variant>
      <vt:variant>
        <vt:i4>978</vt:i4>
      </vt:variant>
      <vt:variant>
        <vt:i4>0</vt:i4>
      </vt:variant>
      <vt:variant>
        <vt:i4>5</vt:i4>
      </vt:variant>
      <vt:variant>
        <vt:lpwstr>http://noticias.juridicas.com/base_datos/CCAA/538599-decreto-legislativo-2-2014-de-22-de-octubre-por-el-que-se-aprueba-el-texto.html</vt:lpwstr>
      </vt:variant>
      <vt:variant>
        <vt:lpwstr>a34b</vt:lpwstr>
      </vt:variant>
      <vt:variant>
        <vt:i4>5832810</vt:i4>
      </vt:variant>
      <vt:variant>
        <vt:i4>975</vt:i4>
      </vt:variant>
      <vt:variant>
        <vt:i4>0</vt:i4>
      </vt:variant>
      <vt:variant>
        <vt:i4>5</vt:i4>
      </vt:variant>
      <vt:variant>
        <vt:lpwstr>http://noticias.juridicas.com/base_datos/CCAA/634861-l-14-2018-28-de-dic-ca-asturias-de-presupuestos-generales-para-2019.html</vt:lpwstr>
      </vt:variant>
      <vt:variant>
        <vt:lpwstr>c5s1</vt:lpwstr>
      </vt:variant>
      <vt:variant>
        <vt:i4>2228245</vt:i4>
      </vt:variant>
      <vt:variant>
        <vt:i4>972</vt:i4>
      </vt:variant>
      <vt:variant>
        <vt:i4>0</vt:i4>
      </vt:variant>
      <vt:variant>
        <vt:i4>5</vt:i4>
      </vt:variant>
      <vt:variant>
        <vt:lpwstr>http://noticias.juridicas.com/base_datos/CCAA/538599-decreto-legislativo-2-2014-de-22-de-octubre-por-el-que-se-aprueba-el-texto.html</vt:lpwstr>
      </vt:variant>
      <vt:variant>
        <vt:lpwstr>a28</vt:lpwstr>
      </vt:variant>
      <vt:variant>
        <vt:i4>4063317</vt:i4>
      </vt:variant>
      <vt:variant>
        <vt:i4>969</vt:i4>
      </vt:variant>
      <vt:variant>
        <vt:i4>0</vt:i4>
      </vt:variant>
      <vt:variant>
        <vt:i4>5</vt:i4>
      </vt:variant>
      <vt:variant>
        <vt:lpwstr>http://noticias.juridicas.com/base_datos/Fiscal/l37-1992.t2.html</vt:lpwstr>
      </vt:variant>
      <vt:variant>
        <vt:lpwstr>a20</vt:lpwstr>
      </vt:variant>
      <vt:variant>
        <vt:i4>4063317</vt:i4>
      </vt:variant>
      <vt:variant>
        <vt:i4>966</vt:i4>
      </vt:variant>
      <vt:variant>
        <vt:i4>0</vt:i4>
      </vt:variant>
      <vt:variant>
        <vt:i4>5</vt:i4>
      </vt:variant>
      <vt:variant>
        <vt:lpwstr>http://noticias.juridicas.com/base_datos/Fiscal/l37-1992.t2.html</vt:lpwstr>
      </vt:variant>
      <vt:variant>
        <vt:lpwstr>a20</vt:lpwstr>
      </vt:variant>
      <vt:variant>
        <vt:i4>4063317</vt:i4>
      </vt:variant>
      <vt:variant>
        <vt:i4>963</vt:i4>
      </vt:variant>
      <vt:variant>
        <vt:i4>0</vt:i4>
      </vt:variant>
      <vt:variant>
        <vt:i4>5</vt:i4>
      </vt:variant>
      <vt:variant>
        <vt:lpwstr>http://noticias.juridicas.com/base_datos/Fiscal/l37-1992.t2.html</vt:lpwstr>
      </vt:variant>
      <vt:variant>
        <vt:lpwstr>a20</vt:lpwstr>
      </vt:variant>
      <vt:variant>
        <vt:i4>2228245</vt:i4>
      </vt:variant>
      <vt:variant>
        <vt:i4>960</vt:i4>
      </vt:variant>
      <vt:variant>
        <vt:i4>0</vt:i4>
      </vt:variant>
      <vt:variant>
        <vt:i4>5</vt:i4>
      </vt:variant>
      <vt:variant>
        <vt:lpwstr>http://noticias.juridicas.com/base_datos/CCAA/538599-decreto-legislativo-2-2014-de-22-de-octubre-por-el-que-se-aprueba-el-texto.html</vt:lpwstr>
      </vt:variant>
      <vt:variant>
        <vt:lpwstr>a28</vt:lpwstr>
      </vt:variant>
      <vt:variant>
        <vt:i4>2228245</vt:i4>
      </vt:variant>
      <vt:variant>
        <vt:i4>957</vt:i4>
      </vt:variant>
      <vt:variant>
        <vt:i4>0</vt:i4>
      </vt:variant>
      <vt:variant>
        <vt:i4>5</vt:i4>
      </vt:variant>
      <vt:variant>
        <vt:lpwstr>http://noticias.juridicas.com/base_datos/CCAA/538599-decreto-legislativo-2-2014-de-22-de-octubre-por-el-que-se-aprueba-el-texto.html</vt:lpwstr>
      </vt:variant>
      <vt:variant>
        <vt:lpwstr>a29</vt:lpwstr>
      </vt:variant>
      <vt:variant>
        <vt:i4>7864339</vt:i4>
      </vt:variant>
      <vt:variant>
        <vt:i4>954</vt:i4>
      </vt:variant>
      <vt:variant>
        <vt:i4>0</vt:i4>
      </vt:variant>
      <vt:variant>
        <vt:i4>5</vt:i4>
      </vt:variant>
      <vt:variant>
        <vt:lpwstr>http://noticias.juridicas.com/base_datos/CCAA/ga-dleg1-2011.html</vt:lpwstr>
      </vt:variant>
      <vt:variant>
        <vt:lpwstr>a15</vt:lpwstr>
      </vt:variant>
      <vt:variant>
        <vt:i4>2228245</vt:i4>
      </vt:variant>
      <vt:variant>
        <vt:i4>951</vt:i4>
      </vt:variant>
      <vt:variant>
        <vt:i4>0</vt:i4>
      </vt:variant>
      <vt:variant>
        <vt:i4>5</vt:i4>
      </vt:variant>
      <vt:variant>
        <vt:lpwstr>http://noticias.juridicas.com/base_datos/CCAA/538599-decreto-legislativo-2-2014-de-22-de-octubre-por-el-que-se-aprueba-el-texto.html</vt:lpwstr>
      </vt:variant>
      <vt:variant>
        <vt:lpwstr>a29</vt:lpwstr>
      </vt:variant>
      <vt:variant>
        <vt:i4>5898294</vt:i4>
      </vt:variant>
      <vt:variant>
        <vt:i4>948</vt:i4>
      </vt:variant>
      <vt:variant>
        <vt:i4>0</vt:i4>
      </vt:variant>
      <vt:variant>
        <vt:i4>5</vt:i4>
      </vt:variant>
      <vt:variant>
        <vt:lpwstr>http://noticias.juridicas.com/base_datos/CCAA/an-dleg1-2009.t2.html</vt:lpwstr>
      </vt:variant>
      <vt:variant>
        <vt:lpwstr>a29</vt:lpwstr>
      </vt:variant>
      <vt:variant>
        <vt:i4>3670102</vt:i4>
      </vt:variant>
      <vt:variant>
        <vt:i4>945</vt:i4>
      </vt:variant>
      <vt:variant>
        <vt:i4>0</vt:i4>
      </vt:variant>
      <vt:variant>
        <vt:i4>5</vt:i4>
      </vt:variant>
      <vt:variant>
        <vt:lpwstr>http://noticias.juridicas.com/base_datos/Fiscal/l37-1992.t1.html</vt:lpwstr>
      </vt:variant>
      <vt:variant>
        <vt:lpwstr>a4</vt:lpwstr>
      </vt:variant>
      <vt:variant>
        <vt:i4>5046383</vt:i4>
      </vt:variant>
      <vt:variant>
        <vt:i4>942</vt:i4>
      </vt:variant>
      <vt:variant>
        <vt:i4>0</vt:i4>
      </vt:variant>
      <vt:variant>
        <vt:i4>5</vt:i4>
      </vt:variant>
      <vt:variant>
        <vt:lpwstr>http://noticias.juridicas.com/base_datos/Fiscal/rdleg1-1993.t2.html</vt:lpwstr>
      </vt:variant>
      <vt:variant>
        <vt:lpwstr>a7</vt:lpwstr>
      </vt:variant>
      <vt:variant>
        <vt:i4>3473488</vt:i4>
      </vt:variant>
      <vt:variant>
        <vt:i4>939</vt:i4>
      </vt:variant>
      <vt:variant>
        <vt:i4>0</vt:i4>
      </vt:variant>
      <vt:variant>
        <vt:i4>5</vt:i4>
      </vt:variant>
      <vt:variant>
        <vt:lpwstr>http://noticias.juridicas.com/base_datos/Fiscal/l37-1992.t7.html</vt:lpwstr>
      </vt:variant>
      <vt:variant>
        <vt:lpwstr>a90</vt:lpwstr>
      </vt:variant>
      <vt:variant>
        <vt:i4>3473488</vt:i4>
      </vt:variant>
      <vt:variant>
        <vt:i4>936</vt:i4>
      </vt:variant>
      <vt:variant>
        <vt:i4>0</vt:i4>
      </vt:variant>
      <vt:variant>
        <vt:i4>5</vt:i4>
      </vt:variant>
      <vt:variant>
        <vt:lpwstr>http://noticias.juridicas.com/base_datos/Fiscal/l37-1992.t7.html</vt:lpwstr>
      </vt:variant>
      <vt:variant>
        <vt:lpwstr>a90</vt:lpwstr>
      </vt:variant>
      <vt:variant>
        <vt:i4>3473488</vt:i4>
      </vt:variant>
      <vt:variant>
        <vt:i4>933</vt:i4>
      </vt:variant>
      <vt:variant>
        <vt:i4>0</vt:i4>
      </vt:variant>
      <vt:variant>
        <vt:i4>5</vt:i4>
      </vt:variant>
      <vt:variant>
        <vt:lpwstr>http://noticias.juridicas.com/base_datos/Fiscal/l37-1992.t7.html</vt:lpwstr>
      </vt:variant>
      <vt:variant>
        <vt:lpwstr>a91</vt:lpwstr>
      </vt:variant>
      <vt:variant>
        <vt:i4>3407953</vt:i4>
      </vt:variant>
      <vt:variant>
        <vt:i4>930</vt:i4>
      </vt:variant>
      <vt:variant>
        <vt:i4>0</vt:i4>
      </vt:variant>
      <vt:variant>
        <vt:i4>5</vt:i4>
      </vt:variant>
      <vt:variant>
        <vt:lpwstr>http://noticias.juridicas.com/base_datos/Fiscal/l37-1992.t6.html</vt:lpwstr>
      </vt:variant>
      <vt:variant>
        <vt:lpwstr>a84</vt:lpwstr>
      </vt:variant>
      <vt:variant>
        <vt:i4>4063317</vt:i4>
      </vt:variant>
      <vt:variant>
        <vt:i4>927</vt:i4>
      </vt:variant>
      <vt:variant>
        <vt:i4>0</vt:i4>
      </vt:variant>
      <vt:variant>
        <vt:i4>5</vt:i4>
      </vt:variant>
      <vt:variant>
        <vt:lpwstr>http://noticias.juridicas.com/base_datos/Fiscal/l37-1992.t2.html</vt:lpwstr>
      </vt:variant>
      <vt:variant>
        <vt:lpwstr>a20</vt:lpwstr>
      </vt:variant>
      <vt:variant>
        <vt:i4>4063317</vt:i4>
      </vt:variant>
      <vt:variant>
        <vt:i4>924</vt:i4>
      </vt:variant>
      <vt:variant>
        <vt:i4>0</vt:i4>
      </vt:variant>
      <vt:variant>
        <vt:i4>5</vt:i4>
      </vt:variant>
      <vt:variant>
        <vt:lpwstr>http://noticias.juridicas.com/base_datos/Fiscal/l37-1992.t2.html</vt:lpwstr>
      </vt:variant>
      <vt:variant>
        <vt:lpwstr>a20</vt:lpwstr>
      </vt:variant>
      <vt:variant>
        <vt:i4>4063317</vt:i4>
      </vt:variant>
      <vt:variant>
        <vt:i4>921</vt:i4>
      </vt:variant>
      <vt:variant>
        <vt:i4>0</vt:i4>
      </vt:variant>
      <vt:variant>
        <vt:i4>5</vt:i4>
      </vt:variant>
      <vt:variant>
        <vt:lpwstr>http://noticias.juridicas.com/base_datos/Fiscal/l37-1992.t2.html</vt:lpwstr>
      </vt:variant>
      <vt:variant>
        <vt:lpwstr>a20</vt:lpwstr>
      </vt:variant>
      <vt:variant>
        <vt:i4>4063317</vt:i4>
      </vt:variant>
      <vt:variant>
        <vt:i4>918</vt:i4>
      </vt:variant>
      <vt:variant>
        <vt:i4>0</vt:i4>
      </vt:variant>
      <vt:variant>
        <vt:i4>5</vt:i4>
      </vt:variant>
      <vt:variant>
        <vt:lpwstr>http://noticias.juridicas.com/base_datos/Fiscal/l37-1992.t2.html</vt:lpwstr>
      </vt:variant>
      <vt:variant>
        <vt:lpwstr>a20</vt:lpwstr>
      </vt:variant>
      <vt:variant>
        <vt:i4>4063317</vt:i4>
      </vt:variant>
      <vt:variant>
        <vt:i4>915</vt:i4>
      </vt:variant>
      <vt:variant>
        <vt:i4>0</vt:i4>
      </vt:variant>
      <vt:variant>
        <vt:i4>5</vt:i4>
      </vt:variant>
      <vt:variant>
        <vt:lpwstr>http://noticias.juridicas.com/base_datos/Fiscal/l37-1992.t2.html</vt:lpwstr>
      </vt:variant>
      <vt:variant>
        <vt:lpwstr>a20</vt:lpwstr>
      </vt:variant>
      <vt:variant>
        <vt:i4>2228245</vt:i4>
      </vt:variant>
      <vt:variant>
        <vt:i4>912</vt:i4>
      </vt:variant>
      <vt:variant>
        <vt:i4>0</vt:i4>
      </vt:variant>
      <vt:variant>
        <vt:i4>5</vt:i4>
      </vt:variant>
      <vt:variant>
        <vt:lpwstr>http://noticias.juridicas.com/base_datos/CCAA/538599-decreto-legislativo-2-2014-de-22-de-octubre-por-el-que-se-aprueba-el-texto.html</vt:lpwstr>
      </vt:variant>
      <vt:variant>
        <vt:lpwstr>a29</vt:lpwstr>
      </vt:variant>
      <vt:variant>
        <vt:i4>2228245</vt:i4>
      </vt:variant>
      <vt:variant>
        <vt:i4>909</vt:i4>
      </vt:variant>
      <vt:variant>
        <vt:i4>0</vt:i4>
      </vt:variant>
      <vt:variant>
        <vt:i4>5</vt:i4>
      </vt:variant>
      <vt:variant>
        <vt:lpwstr>http://noticias.juridicas.com/base_datos/CCAA/538599-decreto-legislativo-2-2014-de-22-de-octubre-por-el-que-se-aprueba-el-texto.html</vt:lpwstr>
      </vt:variant>
      <vt:variant>
        <vt:lpwstr>a28</vt:lpwstr>
      </vt:variant>
      <vt:variant>
        <vt:i4>8126530</vt:i4>
      </vt:variant>
      <vt:variant>
        <vt:i4>906</vt:i4>
      </vt:variant>
      <vt:variant>
        <vt:i4>0</vt:i4>
      </vt:variant>
      <vt:variant>
        <vt:i4>5</vt:i4>
      </vt:variant>
      <vt:variant>
        <vt:lpwstr>http://noticias.juridicas.com/base_datos/Privado/l19-1995.html</vt:lpwstr>
      </vt:variant>
      <vt:variant>
        <vt:lpwstr/>
      </vt:variant>
      <vt:variant>
        <vt:i4>7995518</vt:i4>
      </vt:variant>
      <vt:variant>
        <vt:i4>903</vt:i4>
      </vt:variant>
      <vt:variant>
        <vt:i4>0</vt:i4>
      </vt:variant>
      <vt:variant>
        <vt:i4>5</vt:i4>
      </vt:variant>
      <vt:variant>
        <vt:lpwstr>https://www.boe.es/buscar/doc.php?id=BOPA-a-2023-90366</vt:lpwstr>
      </vt:variant>
      <vt:variant>
        <vt:lpwstr/>
      </vt:variant>
      <vt:variant>
        <vt:i4>8126530</vt:i4>
      </vt:variant>
      <vt:variant>
        <vt:i4>900</vt:i4>
      </vt:variant>
      <vt:variant>
        <vt:i4>0</vt:i4>
      </vt:variant>
      <vt:variant>
        <vt:i4>5</vt:i4>
      </vt:variant>
      <vt:variant>
        <vt:lpwstr>http://noticias.juridicas.com/base_datos/Privado/l19-1995.html</vt:lpwstr>
      </vt:variant>
      <vt:variant>
        <vt:lpwstr/>
      </vt:variant>
      <vt:variant>
        <vt:i4>2228245</vt:i4>
      </vt:variant>
      <vt:variant>
        <vt:i4>897</vt:i4>
      </vt:variant>
      <vt:variant>
        <vt:i4>0</vt:i4>
      </vt:variant>
      <vt:variant>
        <vt:i4>5</vt:i4>
      </vt:variant>
      <vt:variant>
        <vt:lpwstr>http://noticias.juridicas.com/base_datos/CCAA/538599-decreto-legislativo-2-2014-de-22-de-octubre-por-el-que-se-aprueba-el-texto.html</vt:lpwstr>
      </vt:variant>
      <vt:variant>
        <vt:lpwstr>a28</vt:lpwstr>
      </vt:variant>
      <vt:variant>
        <vt:i4>2228245</vt:i4>
      </vt:variant>
      <vt:variant>
        <vt:i4>894</vt:i4>
      </vt:variant>
      <vt:variant>
        <vt:i4>0</vt:i4>
      </vt:variant>
      <vt:variant>
        <vt:i4>5</vt:i4>
      </vt:variant>
      <vt:variant>
        <vt:lpwstr>http://noticias.juridicas.com/base_datos/CCAA/538599-decreto-legislativo-2-2014-de-22-de-octubre-por-el-que-se-aprueba-el-texto.html</vt:lpwstr>
      </vt:variant>
      <vt:variant>
        <vt:lpwstr>a28</vt:lpwstr>
      </vt:variant>
      <vt:variant>
        <vt:i4>2228245</vt:i4>
      </vt:variant>
      <vt:variant>
        <vt:i4>891</vt:i4>
      </vt:variant>
      <vt:variant>
        <vt:i4>0</vt:i4>
      </vt:variant>
      <vt:variant>
        <vt:i4>5</vt:i4>
      </vt:variant>
      <vt:variant>
        <vt:lpwstr>http://noticias.juridicas.com/base_datos/CCAA/538599-decreto-legislativo-2-2014-de-22-de-octubre-por-el-que-se-aprueba-el-texto.html</vt:lpwstr>
      </vt:variant>
      <vt:variant>
        <vt:lpwstr>a28</vt:lpwstr>
      </vt:variant>
      <vt:variant>
        <vt:i4>7995518</vt:i4>
      </vt:variant>
      <vt:variant>
        <vt:i4>888</vt:i4>
      </vt:variant>
      <vt:variant>
        <vt:i4>0</vt:i4>
      </vt:variant>
      <vt:variant>
        <vt:i4>5</vt:i4>
      </vt:variant>
      <vt:variant>
        <vt:lpwstr>https://www.boe.es/buscar/doc.php?id=BOPA-a-2023-90366</vt:lpwstr>
      </vt:variant>
      <vt:variant>
        <vt:lpwstr/>
      </vt:variant>
      <vt:variant>
        <vt:i4>4849785</vt:i4>
      </vt:variant>
      <vt:variant>
        <vt:i4>885</vt:i4>
      </vt:variant>
      <vt:variant>
        <vt:i4>0</vt:i4>
      </vt:variant>
      <vt:variant>
        <vt:i4>5</vt:i4>
      </vt:variant>
      <vt:variant>
        <vt:lpwstr>http://noticias.juridicas.com/base_datos/Fiscal/l19-1991.html</vt:lpwstr>
      </vt:variant>
      <vt:variant>
        <vt:lpwstr/>
      </vt:variant>
      <vt:variant>
        <vt:i4>2228245</vt:i4>
      </vt:variant>
      <vt:variant>
        <vt:i4>882</vt:i4>
      </vt:variant>
      <vt:variant>
        <vt:i4>0</vt:i4>
      </vt:variant>
      <vt:variant>
        <vt:i4>5</vt:i4>
      </vt:variant>
      <vt:variant>
        <vt:lpwstr>http://noticias.juridicas.com/base_datos/CCAA/538599-decreto-legislativo-2-2014-de-22-de-octubre-por-el-que-se-aprueba-el-texto.html</vt:lpwstr>
      </vt:variant>
      <vt:variant>
        <vt:lpwstr>a29</vt:lpwstr>
      </vt:variant>
      <vt:variant>
        <vt:i4>6029335</vt:i4>
      </vt:variant>
      <vt:variant>
        <vt:i4>879</vt:i4>
      </vt:variant>
      <vt:variant>
        <vt:i4>0</vt:i4>
      </vt:variant>
      <vt:variant>
        <vt:i4>5</vt:i4>
      </vt:variant>
      <vt:variant>
        <vt:lpwstr>https://sede.asturias.es/portal/site/Asturias/menuitem.1003733838db7342ebc4e191100000f7/?vgnextoid=d7d79d16b61ee010VgnVCM1000000100007fRCRD&amp;fecha=31/12/2020&amp;refArticulo=2020-11546&amp;i18n.http.lang=es</vt:lpwstr>
      </vt:variant>
      <vt:variant>
        <vt:lpwstr/>
      </vt:variant>
      <vt:variant>
        <vt:i4>2228245</vt:i4>
      </vt:variant>
      <vt:variant>
        <vt:i4>876</vt:i4>
      </vt:variant>
      <vt:variant>
        <vt:i4>0</vt:i4>
      </vt:variant>
      <vt:variant>
        <vt:i4>5</vt:i4>
      </vt:variant>
      <vt:variant>
        <vt:lpwstr>http://noticias.juridicas.com/base_datos/CCAA/538599-decreto-legislativo-2-2014-de-22-de-octubre-por-el-que-se-aprueba-el-texto.html</vt:lpwstr>
      </vt:variant>
      <vt:variant>
        <vt:lpwstr>a29</vt:lpwstr>
      </vt:variant>
      <vt:variant>
        <vt:i4>5832810</vt:i4>
      </vt:variant>
      <vt:variant>
        <vt:i4>873</vt:i4>
      </vt:variant>
      <vt:variant>
        <vt:i4>0</vt:i4>
      </vt:variant>
      <vt:variant>
        <vt:i4>5</vt:i4>
      </vt:variant>
      <vt:variant>
        <vt:lpwstr>http://noticias.juridicas.com/base_datos/CCAA/634861-l-14-2018-28-de-dic-ca-asturias-de-presupuestos-generales-para-2019.html</vt:lpwstr>
      </vt:variant>
      <vt:variant>
        <vt:lpwstr>c5s1</vt:lpwstr>
      </vt:variant>
      <vt:variant>
        <vt:i4>2228245</vt:i4>
      </vt:variant>
      <vt:variant>
        <vt:i4>870</vt:i4>
      </vt:variant>
      <vt:variant>
        <vt:i4>0</vt:i4>
      </vt:variant>
      <vt:variant>
        <vt:i4>5</vt:i4>
      </vt:variant>
      <vt:variant>
        <vt:lpwstr>http://noticias.juridicas.com/base_datos/CCAA/538599-decreto-legislativo-2-2014-de-22-de-octubre-por-el-que-se-aprueba-el-texto.html</vt:lpwstr>
      </vt:variant>
      <vt:variant>
        <vt:lpwstr>a29</vt:lpwstr>
      </vt:variant>
      <vt:variant>
        <vt:i4>6029335</vt:i4>
      </vt:variant>
      <vt:variant>
        <vt:i4>867</vt:i4>
      </vt:variant>
      <vt:variant>
        <vt:i4>0</vt:i4>
      </vt:variant>
      <vt:variant>
        <vt:i4>5</vt:i4>
      </vt:variant>
      <vt:variant>
        <vt:lpwstr>https://sede.asturias.es/portal/site/Asturias/menuitem.1003733838db7342ebc4e191100000f7/?vgnextoid=d7d79d16b61ee010VgnVCM1000000100007fRCRD&amp;fecha=31/12/2020&amp;refArticulo=2020-11546&amp;i18n.http.lang=es</vt:lpwstr>
      </vt:variant>
      <vt:variant>
        <vt:lpwstr/>
      </vt:variant>
      <vt:variant>
        <vt:i4>2228245</vt:i4>
      </vt:variant>
      <vt:variant>
        <vt:i4>864</vt:i4>
      </vt:variant>
      <vt:variant>
        <vt:i4>0</vt:i4>
      </vt:variant>
      <vt:variant>
        <vt:i4>5</vt:i4>
      </vt:variant>
      <vt:variant>
        <vt:lpwstr>http://noticias.juridicas.com/base_datos/CCAA/538599-decreto-legislativo-2-2014-de-22-de-octubre-por-el-que-se-aprueba-el-texto.html</vt:lpwstr>
      </vt:variant>
      <vt:variant>
        <vt:lpwstr>a27</vt:lpwstr>
      </vt:variant>
      <vt:variant>
        <vt:i4>2228245</vt:i4>
      </vt:variant>
      <vt:variant>
        <vt:i4>861</vt:i4>
      </vt:variant>
      <vt:variant>
        <vt:i4>0</vt:i4>
      </vt:variant>
      <vt:variant>
        <vt:i4>5</vt:i4>
      </vt:variant>
      <vt:variant>
        <vt:lpwstr>http://noticias.juridicas.com/base_datos/CCAA/538599-decreto-legislativo-2-2014-de-22-de-octubre-por-el-que-se-aprueba-el-texto.html</vt:lpwstr>
      </vt:variant>
      <vt:variant>
        <vt:lpwstr>a27</vt:lpwstr>
      </vt:variant>
      <vt:variant>
        <vt:i4>7995518</vt:i4>
      </vt:variant>
      <vt:variant>
        <vt:i4>858</vt:i4>
      </vt:variant>
      <vt:variant>
        <vt:i4>0</vt:i4>
      </vt:variant>
      <vt:variant>
        <vt:i4>5</vt:i4>
      </vt:variant>
      <vt:variant>
        <vt:lpwstr>https://www.boe.es/buscar/doc.php?id=BOPA-a-2023-90366</vt:lpwstr>
      </vt:variant>
      <vt:variant>
        <vt:lpwstr/>
      </vt:variant>
      <vt:variant>
        <vt:i4>7995518</vt:i4>
      </vt:variant>
      <vt:variant>
        <vt:i4>855</vt:i4>
      </vt:variant>
      <vt:variant>
        <vt:i4>0</vt:i4>
      </vt:variant>
      <vt:variant>
        <vt:i4>5</vt:i4>
      </vt:variant>
      <vt:variant>
        <vt:lpwstr>https://www.boe.es/buscar/doc.php?id=BOPA-a-2023-90366</vt:lpwstr>
      </vt:variant>
      <vt:variant>
        <vt:lpwstr/>
      </vt:variant>
      <vt:variant>
        <vt:i4>3997764</vt:i4>
      </vt:variant>
      <vt:variant>
        <vt:i4>852</vt:i4>
      </vt:variant>
      <vt:variant>
        <vt:i4>0</vt:i4>
      </vt:variant>
      <vt:variant>
        <vt:i4>5</vt:i4>
      </vt:variant>
      <vt:variant>
        <vt:lpwstr>https://noticias.juridicas.com/base_datos/CCAA/538599-decreto-legislativo-2-2014-de-22-de-octubre-por-el-que-se-aprueba-el-texto.html</vt:lpwstr>
      </vt:variant>
      <vt:variant>
        <vt:lpwstr>a32b</vt:lpwstr>
      </vt:variant>
      <vt:variant>
        <vt:i4>7995518</vt:i4>
      </vt:variant>
      <vt:variant>
        <vt:i4>849</vt:i4>
      </vt:variant>
      <vt:variant>
        <vt:i4>0</vt:i4>
      </vt:variant>
      <vt:variant>
        <vt:i4>5</vt:i4>
      </vt:variant>
      <vt:variant>
        <vt:lpwstr>https://www.boe.es/buscar/doc.php?id=BOPA-a-2023-90366</vt:lpwstr>
      </vt:variant>
      <vt:variant>
        <vt:lpwstr/>
      </vt:variant>
      <vt:variant>
        <vt:i4>3997764</vt:i4>
      </vt:variant>
      <vt:variant>
        <vt:i4>846</vt:i4>
      </vt:variant>
      <vt:variant>
        <vt:i4>0</vt:i4>
      </vt:variant>
      <vt:variant>
        <vt:i4>5</vt:i4>
      </vt:variant>
      <vt:variant>
        <vt:lpwstr>https://noticias.juridicas.com/base_datos/CCAA/538599-decreto-legislativo-2-2014-de-22-de-octubre-por-el-que-se-aprueba-el-texto.html</vt:lpwstr>
      </vt:variant>
      <vt:variant>
        <vt:lpwstr>a32b</vt:lpwstr>
      </vt:variant>
      <vt:variant>
        <vt:i4>4325438</vt:i4>
      </vt:variant>
      <vt:variant>
        <vt:i4>843</vt:i4>
      </vt:variant>
      <vt:variant>
        <vt:i4>0</vt:i4>
      </vt:variant>
      <vt:variant>
        <vt:i4>5</vt:i4>
      </vt:variant>
      <vt:variant>
        <vt:lpwstr>https://noticias.juridicas.com/base_datos/CCAA/749669-d-19-2023-de-10-mar-ca-asturias-regula-el-reconocimiento-de-la-condicion.html</vt:lpwstr>
      </vt:variant>
      <vt:variant>
        <vt:lpwstr/>
      </vt:variant>
      <vt:variant>
        <vt:i4>7012409</vt:i4>
      </vt:variant>
      <vt:variant>
        <vt:i4>840</vt:i4>
      </vt:variant>
      <vt:variant>
        <vt:i4>0</vt:i4>
      </vt:variant>
      <vt:variant>
        <vt:i4>5</vt:i4>
      </vt:variant>
      <vt:variant>
        <vt:lpwstr>https://sede.asturias.es/bopa-disposiciones?p_p_id=pa_sede_bopa_web_portlet_SedeBopaDispositionWeb&amp;p_p_lifecycle=0&amp;_pa_sede_bopa_web_portlet_SedeBopaDispositionWeb_mvcRenderCommandName=%2Fdisposition%2Fdetail&amp;p_r_p_dispositionText=2024-11573&amp;p_r_p_dispositionReference=2024-11573&amp;p_r_p_dispositionDate=31%2F12%2F2024</vt:lpwstr>
      </vt:variant>
      <vt:variant>
        <vt:lpwstr/>
      </vt:variant>
      <vt:variant>
        <vt:i4>7995518</vt:i4>
      </vt:variant>
      <vt:variant>
        <vt:i4>837</vt:i4>
      </vt:variant>
      <vt:variant>
        <vt:i4>0</vt:i4>
      </vt:variant>
      <vt:variant>
        <vt:i4>5</vt:i4>
      </vt:variant>
      <vt:variant>
        <vt:lpwstr>https://www.boe.es/buscar/doc.php?id=BOPA-a-2023-90366</vt:lpwstr>
      </vt:variant>
      <vt:variant>
        <vt:lpwstr/>
      </vt:variant>
      <vt:variant>
        <vt:i4>3997764</vt:i4>
      </vt:variant>
      <vt:variant>
        <vt:i4>834</vt:i4>
      </vt:variant>
      <vt:variant>
        <vt:i4>0</vt:i4>
      </vt:variant>
      <vt:variant>
        <vt:i4>5</vt:i4>
      </vt:variant>
      <vt:variant>
        <vt:lpwstr>https://noticias.juridicas.com/base_datos/CCAA/538599-decreto-legislativo-2-2014-de-22-de-octubre-por-el-que-se-aprueba-el-texto.html</vt:lpwstr>
      </vt:variant>
      <vt:variant>
        <vt:lpwstr>a32b</vt:lpwstr>
      </vt:variant>
      <vt:variant>
        <vt:i4>7929937</vt:i4>
      </vt:variant>
      <vt:variant>
        <vt:i4>831</vt:i4>
      </vt:variant>
      <vt:variant>
        <vt:i4>0</vt:i4>
      </vt:variant>
      <vt:variant>
        <vt:i4>5</vt:i4>
      </vt:variant>
      <vt:variant>
        <vt:lpwstr>https://noticias.juridicas.com/base_datos/CCAA/965198-decreto-presidencia-reto-demografico-igualdad-y-turismo-83-2025-23-jun.html</vt:lpwstr>
      </vt:variant>
      <vt:variant>
        <vt:lpwstr/>
      </vt:variant>
      <vt:variant>
        <vt:i4>6750316</vt:i4>
      </vt:variant>
      <vt:variant>
        <vt:i4>828</vt:i4>
      </vt:variant>
      <vt:variant>
        <vt:i4>0</vt:i4>
      </vt:variant>
      <vt:variant>
        <vt:i4>5</vt:i4>
      </vt:variant>
      <vt:variant>
        <vt:lpwstr>chrome-extension://efaidnbmnnnibpcajpcglclefindmkaj/https:/miprincipado.asturias.es/bopa/2025/12/31/20251231Su1.pdf</vt:lpwstr>
      </vt:variant>
      <vt:variant>
        <vt:lpwstr/>
      </vt:variant>
      <vt:variant>
        <vt:i4>5898367</vt:i4>
      </vt:variant>
      <vt:variant>
        <vt:i4>825</vt:i4>
      </vt:variant>
      <vt:variant>
        <vt:i4>0</vt:i4>
      </vt:variant>
      <vt:variant>
        <vt:i4>5</vt:i4>
      </vt:variant>
      <vt:variant>
        <vt:lpwstr>https://miprincipado.asturias.es/ast/bopa/disposiciones?p_p_id=pa_sede_bopa_web_portlet_SedeBopaDispositionWeb&amp;p_p_lifecycle=0&amp;_pa_sede_bopa_web_portlet_SedeBopaDispositionWeb_mvcRenderCommandName=%2Fdisposition%2Fdetail&amp;p_r_p_dispositionText=2025-05426&amp;p_r_p_dispositionReference=2025-05426&amp;p_r_p_dispositionDate=27%2F06%2F2025</vt:lpwstr>
      </vt:variant>
      <vt:variant>
        <vt:lpwstr/>
      </vt:variant>
      <vt:variant>
        <vt:i4>6750316</vt:i4>
      </vt:variant>
      <vt:variant>
        <vt:i4>822</vt:i4>
      </vt:variant>
      <vt:variant>
        <vt:i4>0</vt:i4>
      </vt:variant>
      <vt:variant>
        <vt:i4>5</vt:i4>
      </vt:variant>
      <vt:variant>
        <vt:lpwstr>chrome-extension://efaidnbmnnnibpcajpcglclefindmkaj/https:/miprincipado.asturias.es/bopa/2025/12/31/20251231Su1.pdf</vt:lpwstr>
      </vt:variant>
      <vt:variant>
        <vt:lpwstr/>
      </vt:variant>
      <vt:variant>
        <vt:i4>7995518</vt:i4>
      </vt:variant>
      <vt:variant>
        <vt:i4>819</vt:i4>
      </vt:variant>
      <vt:variant>
        <vt:i4>0</vt:i4>
      </vt:variant>
      <vt:variant>
        <vt:i4>5</vt:i4>
      </vt:variant>
      <vt:variant>
        <vt:lpwstr>https://www.boe.es/buscar/doc.php?id=BOPA-a-2023-90366</vt:lpwstr>
      </vt:variant>
      <vt:variant>
        <vt:lpwstr/>
      </vt:variant>
      <vt:variant>
        <vt:i4>7536765</vt:i4>
      </vt:variant>
      <vt:variant>
        <vt:i4>816</vt:i4>
      </vt:variant>
      <vt:variant>
        <vt:i4>0</vt:i4>
      </vt:variant>
      <vt:variant>
        <vt:i4>5</vt:i4>
      </vt:variant>
      <vt:variant>
        <vt:lpwstr>https://sede.asturias.es/ast/bopa-disposiciones?p_p_id=pa_sede_bopa_web_portlet_SedeBopaDispositionWeb&amp;p_p_lifecycle=0&amp;_pa_sede_bopa_web_portlet_SedeBopaDispositionWeb_mvcRenderCommandName=%2Fdisposition%2Fdetail&amp;p_r_p_dispositionText=2020-10187&amp;p_r_p_dispositionReference=2020-10187&amp;p_r_p_dispositionDate=15%2F12%2F2020</vt:lpwstr>
      </vt:variant>
      <vt:variant>
        <vt:lpwstr/>
      </vt:variant>
      <vt:variant>
        <vt:i4>7143482</vt:i4>
      </vt:variant>
      <vt:variant>
        <vt:i4>813</vt:i4>
      </vt:variant>
      <vt:variant>
        <vt:i4>0</vt:i4>
      </vt:variant>
      <vt:variant>
        <vt:i4>5</vt:i4>
      </vt:variant>
      <vt:variant>
        <vt:lpwstr>https://sede.asturias.es/bopa-disposiciones?p_p_id=pa_sede_bopa_web_portlet_SedeBopaDispositionWeb&amp;p_p_lifecycle=0&amp;_pa_sede_bopa_web_portlet_SedeBopaDispositionWeb_mvcRenderCommandName=%2Fdisposition%2Fdetail&amp;p_r_p_dispositionText=2021-11414&amp;p_r_p_dispositionReference=2021-11414&amp;p_r_p_dispositionDate=31%2F12%2F2021</vt:lpwstr>
      </vt:variant>
      <vt:variant>
        <vt:lpwstr/>
      </vt:variant>
      <vt:variant>
        <vt:i4>5898367</vt:i4>
      </vt:variant>
      <vt:variant>
        <vt:i4>810</vt:i4>
      </vt:variant>
      <vt:variant>
        <vt:i4>0</vt:i4>
      </vt:variant>
      <vt:variant>
        <vt:i4>5</vt:i4>
      </vt:variant>
      <vt:variant>
        <vt:lpwstr>https://miprincipado.asturias.es/ast/bopa/disposiciones?p_p_id=pa_sede_bopa_web_portlet_SedeBopaDispositionWeb&amp;p_p_lifecycle=0&amp;_pa_sede_bopa_web_portlet_SedeBopaDispositionWeb_mvcRenderCommandName=%2Fdisposition%2Fdetail&amp;p_r_p_dispositionText=2025-05426&amp;p_r_p_dispositionReference=2025-05426&amp;p_r_p_dispositionDate=27%2F06%2F2025</vt:lpwstr>
      </vt:variant>
      <vt:variant>
        <vt:lpwstr/>
      </vt:variant>
      <vt:variant>
        <vt:i4>7995518</vt:i4>
      </vt:variant>
      <vt:variant>
        <vt:i4>807</vt:i4>
      </vt:variant>
      <vt:variant>
        <vt:i4>0</vt:i4>
      </vt:variant>
      <vt:variant>
        <vt:i4>5</vt:i4>
      </vt:variant>
      <vt:variant>
        <vt:lpwstr>https://www.boe.es/buscar/doc.php?id=BOPA-a-2023-90366</vt:lpwstr>
      </vt:variant>
      <vt:variant>
        <vt:lpwstr/>
      </vt:variant>
      <vt:variant>
        <vt:i4>3997764</vt:i4>
      </vt:variant>
      <vt:variant>
        <vt:i4>804</vt:i4>
      </vt:variant>
      <vt:variant>
        <vt:i4>0</vt:i4>
      </vt:variant>
      <vt:variant>
        <vt:i4>5</vt:i4>
      </vt:variant>
      <vt:variant>
        <vt:lpwstr>https://noticias.juridicas.com/base_datos/CCAA/538599-decreto-legislativo-2-2014-de-22-de-octubre-por-el-que-se-aprueba-el-texto.html</vt:lpwstr>
      </vt:variant>
      <vt:variant>
        <vt:lpwstr>a32b</vt:lpwstr>
      </vt:variant>
      <vt:variant>
        <vt:i4>3997767</vt:i4>
      </vt:variant>
      <vt:variant>
        <vt:i4>801</vt:i4>
      </vt:variant>
      <vt:variant>
        <vt:i4>0</vt:i4>
      </vt:variant>
      <vt:variant>
        <vt:i4>5</vt:i4>
      </vt:variant>
      <vt:variant>
        <vt:lpwstr>https://noticias.juridicas.com/base_datos/CCAA/538599-decreto-legislativo-2-2014-de-22-de-octubre-por-el-que-se-aprueba-el-texto.html</vt:lpwstr>
      </vt:variant>
      <vt:variant>
        <vt:lpwstr>a31b</vt:lpwstr>
      </vt:variant>
      <vt:variant>
        <vt:i4>4194344</vt:i4>
      </vt:variant>
      <vt:variant>
        <vt:i4>798</vt:i4>
      </vt:variant>
      <vt:variant>
        <vt:i4>0</vt:i4>
      </vt:variant>
      <vt:variant>
        <vt:i4>5</vt:i4>
      </vt:variant>
      <vt:variant>
        <vt:lpwstr>https://miprincipado.asturias.es/bopa/disposiciones?p_p_id=pa_sede_bopa_web_portlet_SedeBopaDispositionWeb&amp;p_p_lifecycle=0&amp;_pa_sede_bopa_web_portlet_SedeBopaDispositionWeb_mvcRenderCommandName=%2Fdisposition%2Fdetail&amp;p_r_p_dispositionText=2025-09912&amp;p_r_p_dispositionReference=2025-09912&amp;p_r_p_dispositionDate=02%2F12%2F2025</vt:lpwstr>
      </vt:variant>
      <vt:variant>
        <vt:lpwstr/>
      </vt:variant>
      <vt:variant>
        <vt:i4>3997767</vt:i4>
      </vt:variant>
      <vt:variant>
        <vt:i4>795</vt:i4>
      </vt:variant>
      <vt:variant>
        <vt:i4>0</vt:i4>
      </vt:variant>
      <vt:variant>
        <vt:i4>5</vt:i4>
      </vt:variant>
      <vt:variant>
        <vt:lpwstr>https://noticias.juridicas.com/base_datos/CCAA/538599-decreto-legislativo-2-2014-de-22-de-octubre-por-el-que-se-aprueba-el-texto.html</vt:lpwstr>
      </vt:variant>
      <vt:variant>
        <vt:lpwstr>a31b</vt:lpwstr>
      </vt:variant>
      <vt:variant>
        <vt:i4>3997767</vt:i4>
      </vt:variant>
      <vt:variant>
        <vt:i4>792</vt:i4>
      </vt:variant>
      <vt:variant>
        <vt:i4>0</vt:i4>
      </vt:variant>
      <vt:variant>
        <vt:i4>5</vt:i4>
      </vt:variant>
      <vt:variant>
        <vt:lpwstr>https://noticias.juridicas.com/base_datos/CCAA/538599-decreto-legislativo-2-2014-de-22-de-octubre-por-el-que-se-aprueba-el-texto.html</vt:lpwstr>
      </vt:variant>
      <vt:variant>
        <vt:lpwstr>a31b</vt:lpwstr>
      </vt:variant>
      <vt:variant>
        <vt:i4>327763</vt:i4>
      </vt:variant>
      <vt:variant>
        <vt:i4>789</vt:i4>
      </vt:variant>
      <vt:variant>
        <vt:i4>0</vt:i4>
      </vt:variant>
      <vt:variant>
        <vt:i4>5</vt:i4>
      </vt:variant>
      <vt:variant>
        <vt:lpwstr>https://www.tottributs.com/2026/02/6232/</vt:lpwstr>
      </vt:variant>
      <vt:variant>
        <vt:lpwstr/>
      </vt:variant>
      <vt:variant>
        <vt:i4>3932201</vt:i4>
      </vt:variant>
      <vt:variant>
        <vt:i4>786</vt:i4>
      </vt:variant>
      <vt:variant>
        <vt:i4>0</vt:i4>
      </vt:variant>
      <vt:variant>
        <vt:i4>5</vt:i4>
      </vt:variant>
      <vt:variant>
        <vt:lpwstr>chrome-extension://efaidnbmnnnibpcajpcglclefindmkaj/https:/aplicacions.economia.gencat.cat/ecodif/rest/file/download?id=164937&amp;lang=Ca</vt:lpwstr>
      </vt:variant>
      <vt:variant>
        <vt:lpwstr/>
      </vt:variant>
      <vt:variant>
        <vt:i4>4194344</vt:i4>
      </vt:variant>
      <vt:variant>
        <vt:i4>783</vt:i4>
      </vt:variant>
      <vt:variant>
        <vt:i4>0</vt:i4>
      </vt:variant>
      <vt:variant>
        <vt:i4>5</vt:i4>
      </vt:variant>
      <vt:variant>
        <vt:lpwstr>https://miprincipado.asturias.es/bopa/disposiciones?p_p_id=pa_sede_bopa_web_portlet_SedeBopaDispositionWeb&amp;p_p_lifecycle=0&amp;_pa_sede_bopa_web_portlet_SedeBopaDispositionWeb_mvcRenderCommandName=%2Fdisposition%2Fdetail&amp;p_r_p_dispositionText=2025-09912&amp;p_r_p_dispositionReference=2025-09912&amp;p_r_p_dispositionDate=02%2F12%2F2025</vt:lpwstr>
      </vt:variant>
      <vt:variant>
        <vt:lpwstr/>
      </vt:variant>
      <vt:variant>
        <vt:i4>3997767</vt:i4>
      </vt:variant>
      <vt:variant>
        <vt:i4>780</vt:i4>
      </vt:variant>
      <vt:variant>
        <vt:i4>0</vt:i4>
      </vt:variant>
      <vt:variant>
        <vt:i4>5</vt:i4>
      </vt:variant>
      <vt:variant>
        <vt:lpwstr>https://noticias.juridicas.com/base_datos/CCAA/538599-decreto-legislativo-2-2014-de-22-de-octubre-por-el-que-se-aprueba-el-texto.html</vt:lpwstr>
      </vt:variant>
      <vt:variant>
        <vt:lpwstr>a31b</vt:lpwstr>
      </vt:variant>
      <vt:variant>
        <vt:i4>3342382</vt:i4>
      </vt:variant>
      <vt:variant>
        <vt:i4>777</vt:i4>
      </vt:variant>
      <vt:variant>
        <vt:i4>0</vt:i4>
      </vt:variant>
      <vt:variant>
        <vt:i4>5</vt:i4>
      </vt:variant>
      <vt:variant>
        <vt:lpwstr>https://docs.google.com/viewer?a=v&amp;pid=sites&amp;srcid=ZGVmYXVsdGRvbWFpbnxsZXZhbnRlbm90fGd4OjRiYzI2NjA2ZTZjNDI5MDQ</vt:lpwstr>
      </vt:variant>
      <vt:variant>
        <vt:lpwstr/>
      </vt:variant>
      <vt:variant>
        <vt:i4>2359312</vt:i4>
      </vt:variant>
      <vt:variant>
        <vt:i4>774</vt:i4>
      </vt:variant>
      <vt:variant>
        <vt:i4>0</vt:i4>
      </vt:variant>
      <vt:variant>
        <vt:i4>5</vt:i4>
      </vt:variant>
      <vt:variant>
        <vt:lpwstr>http://noticias.juridicas.com/base_datos/CCAA/538599-decreto-legislativo-2-2014-de-22-de-octubre-por-el-que-se-aprueba-el-texto.html</vt:lpwstr>
      </vt:variant>
      <vt:variant>
        <vt:lpwstr>t1c4s1</vt:lpwstr>
      </vt:variant>
      <vt:variant>
        <vt:i4>2293781</vt:i4>
      </vt:variant>
      <vt:variant>
        <vt:i4>771</vt:i4>
      </vt:variant>
      <vt:variant>
        <vt:i4>0</vt:i4>
      </vt:variant>
      <vt:variant>
        <vt:i4>5</vt:i4>
      </vt:variant>
      <vt:variant>
        <vt:lpwstr>http://noticias.juridicas.com/base_datos/CCAA/538599-decreto-legislativo-2-2014-de-22-de-octubre-por-el-que-se-aprueba-el-texto.html</vt:lpwstr>
      </vt:variant>
      <vt:variant>
        <vt:lpwstr>a31</vt:lpwstr>
      </vt:variant>
      <vt:variant>
        <vt:i4>8126530</vt:i4>
      </vt:variant>
      <vt:variant>
        <vt:i4>768</vt:i4>
      </vt:variant>
      <vt:variant>
        <vt:i4>0</vt:i4>
      </vt:variant>
      <vt:variant>
        <vt:i4>5</vt:i4>
      </vt:variant>
      <vt:variant>
        <vt:lpwstr>http://noticias.juridicas.com/base_datos/Privado/l19-1995.html</vt:lpwstr>
      </vt:variant>
      <vt:variant>
        <vt:lpwstr/>
      </vt:variant>
      <vt:variant>
        <vt:i4>6226038</vt:i4>
      </vt:variant>
      <vt:variant>
        <vt:i4>765</vt:i4>
      </vt:variant>
      <vt:variant>
        <vt:i4>0</vt:i4>
      </vt:variant>
      <vt:variant>
        <vt:i4>5</vt:i4>
      </vt:variant>
      <vt:variant>
        <vt:lpwstr>https://noticias.juridicas.com/base_datos/CCAA/538599-decreto-legislativo-2-2014-de-22-de-octubre-por-el-que-se-aprueba-el-texto.html</vt:lpwstr>
      </vt:variant>
      <vt:variant>
        <vt:lpwstr>a30</vt:lpwstr>
      </vt:variant>
      <vt:variant>
        <vt:i4>2228245</vt:i4>
      </vt:variant>
      <vt:variant>
        <vt:i4>762</vt:i4>
      </vt:variant>
      <vt:variant>
        <vt:i4>0</vt:i4>
      </vt:variant>
      <vt:variant>
        <vt:i4>5</vt:i4>
      </vt:variant>
      <vt:variant>
        <vt:lpwstr>http://noticias.juridicas.com/base_datos/CCAA/538599-decreto-legislativo-2-2014-de-22-de-octubre-por-el-que-se-aprueba-el-texto.html</vt:lpwstr>
      </vt:variant>
      <vt:variant>
        <vt:lpwstr>a29</vt:lpwstr>
      </vt:variant>
      <vt:variant>
        <vt:i4>5046383</vt:i4>
      </vt:variant>
      <vt:variant>
        <vt:i4>759</vt:i4>
      </vt:variant>
      <vt:variant>
        <vt:i4>0</vt:i4>
      </vt:variant>
      <vt:variant>
        <vt:i4>5</vt:i4>
      </vt:variant>
      <vt:variant>
        <vt:lpwstr>http://noticias.juridicas.com/base_datos/Fiscal/rdleg1-1993.t2.html</vt:lpwstr>
      </vt:variant>
      <vt:variant>
        <vt:lpwstr>a7</vt:lpwstr>
      </vt:variant>
      <vt:variant>
        <vt:i4>3866710</vt:i4>
      </vt:variant>
      <vt:variant>
        <vt:i4>756</vt:i4>
      </vt:variant>
      <vt:variant>
        <vt:i4>0</vt:i4>
      </vt:variant>
      <vt:variant>
        <vt:i4>5</vt:i4>
      </vt:variant>
      <vt:variant>
        <vt:lpwstr>http://noticias.juridicas.com/base_datos/Fiscal/l37-1992.t1.html</vt:lpwstr>
      </vt:variant>
      <vt:variant>
        <vt:lpwstr>a7</vt:lpwstr>
      </vt:variant>
      <vt:variant>
        <vt:i4>2228245</vt:i4>
      </vt:variant>
      <vt:variant>
        <vt:i4>753</vt:i4>
      </vt:variant>
      <vt:variant>
        <vt:i4>0</vt:i4>
      </vt:variant>
      <vt:variant>
        <vt:i4>5</vt:i4>
      </vt:variant>
      <vt:variant>
        <vt:lpwstr>http://noticias.juridicas.com/base_datos/CCAA/538599-decreto-legislativo-2-2014-de-22-de-octubre-por-el-que-se-aprueba-el-texto.html</vt:lpwstr>
      </vt:variant>
      <vt:variant>
        <vt:lpwstr>a28</vt:lpwstr>
      </vt:variant>
      <vt:variant>
        <vt:i4>3211336</vt:i4>
      </vt:variant>
      <vt:variant>
        <vt:i4>750</vt:i4>
      </vt:variant>
      <vt:variant>
        <vt:i4>0</vt:i4>
      </vt:variant>
      <vt:variant>
        <vt:i4>5</vt:i4>
      </vt:variant>
      <vt:variant>
        <vt:lpwstr>https://noticias.juridicas.com/base_datos/CCAA/538599-decreto-legislativo-2-2014-de-22-de-octubre-por-el-que-se-aprueba-el-texto.html</vt:lpwstr>
      </vt:variant>
      <vt:variant>
        <vt:lpwstr>a32sexies</vt:lpwstr>
      </vt:variant>
      <vt:variant>
        <vt:i4>2818116</vt:i4>
      </vt:variant>
      <vt:variant>
        <vt:i4>747</vt:i4>
      </vt:variant>
      <vt:variant>
        <vt:i4>0</vt:i4>
      </vt:variant>
      <vt:variant>
        <vt:i4>5</vt:i4>
      </vt:variant>
      <vt:variant>
        <vt:lpwstr>https://noticias.juridicas.com/base_datos/CCAA/538599-decreto-legislativo-2-2014-de-22-de-octubre-por-el-que-se-aprueba-el-texto.html</vt:lpwstr>
      </vt:variant>
      <vt:variant>
        <vt:lpwstr>a32t</vt:lpwstr>
      </vt:variant>
      <vt:variant>
        <vt:i4>2228245</vt:i4>
      </vt:variant>
      <vt:variant>
        <vt:i4>744</vt:i4>
      </vt:variant>
      <vt:variant>
        <vt:i4>0</vt:i4>
      </vt:variant>
      <vt:variant>
        <vt:i4>5</vt:i4>
      </vt:variant>
      <vt:variant>
        <vt:lpwstr>http://noticias.juridicas.com/base_datos/CCAA/538599-decreto-legislativo-2-2014-de-22-de-octubre-por-el-que-se-aprueba-el-texto.html</vt:lpwstr>
      </vt:variant>
      <vt:variant>
        <vt:lpwstr>a27</vt:lpwstr>
      </vt:variant>
      <vt:variant>
        <vt:i4>4325438</vt:i4>
      </vt:variant>
      <vt:variant>
        <vt:i4>741</vt:i4>
      </vt:variant>
      <vt:variant>
        <vt:i4>0</vt:i4>
      </vt:variant>
      <vt:variant>
        <vt:i4>5</vt:i4>
      </vt:variant>
      <vt:variant>
        <vt:lpwstr>https://noticias.juridicas.com/base_datos/CCAA/749669-d-19-2023-de-10-mar-ca-asturias-regula-el-reconocimiento-de-la-condicion.html</vt:lpwstr>
      </vt:variant>
      <vt:variant>
        <vt:lpwstr/>
      </vt:variant>
      <vt:variant>
        <vt:i4>4915276</vt:i4>
      </vt:variant>
      <vt:variant>
        <vt:i4>738</vt:i4>
      </vt:variant>
      <vt:variant>
        <vt:i4>0</vt:i4>
      </vt:variant>
      <vt:variant>
        <vt:i4>5</vt:i4>
      </vt:variant>
      <vt:variant>
        <vt:lpwstr>https://www.boe.es/buscar/act.php?id=BOE-A-2003-21052&amp;p=20230509&amp;tn=2</vt:lpwstr>
      </vt:variant>
      <vt:variant>
        <vt:lpwstr/>
      </vt:variant>
      <vt:variant>
        <vt:i4>3997764</vt:i4>
      </vt:variant>
      <vt:variant>
        <vt:i4>735</vt:i4>
      </vt:variant>
      <vt:variant>
        <vt:i4>0</vt:i4>
      </vt:variant>
      <vt:variant>
        <vt:i4>5</vt:i4>
      </vt:variant>
      <vt:variant>
        <vt:lpwstr>https://noticias.juridicas.com/base_datos/CCAA/538599-decreto-legislativo-2-2014-de-22-de-octubre-por-el-que-se-aprueba-el-texto.html</vt:lpwstr>
      </vt:variant>
      <vt:variant>
        <vt:lpwstr>a32b</vt:lpwstr>
      </vt:variant>
      <vt:variant>
        <vt:i4>3997764</vt:i4>
      </vt:variant>
      <vt:variant>
        <vt:i4>732</vt:i4>
      </vt:variant>
      <vt:variant>
        <vt:i4>0</vt:i4>
      </vt:variant>
      <vt:variant>
        <vt:i4>5</vt:i4>
      </vt:variant>
      <vt:variant>
        <vt:lpwstr>https://noticias.juridicas.com/base_datos/CCAA/538599-decreto-legislativo-2-2014-de-22-de-octubre-por-el-que-se-aprueba-el-texto.html</vt:lpwstr>
      </vt:variant>
      <vt:variant>
        <vt:lpwstr>a32b</vt:lpwstr>
      </vt:variant>
      <vt:variant>
        <vt:i4>7929937</vt:i4>
      </vt:variant>
      <vt:variant>
        <vt:i4>729</vt:i4>
      </vt:variant>
      <vt:variant>
        <vt:i4>0</vt:i4>
      </vt:variant>
      <vt:variant>
        <vt:i4>5</vt:i4>
      </vt:variant>
      <vt:variant>
        <vt:lpwstr>https://noticias.juridicas.com/base_datos/CCAA/965198-decreto-presidencia-reto-demografico-igualdad-y-turismo-83-2025-23-jun.html</vt:lpwstr>
      </vt:variant>
      <vt:variant>
        <vt:lpwstr/>
      </vt:variant>
      <vt:variant>
        <vt:i4>2031640</vt:i4>
      </vt:variant>
      <vt:variant>
        <vt:i4>726</vt:i4>
      </vt:variant>
      <vt:variant>
        <vt:i4>0</vt:i4>
      </vt:variant>
      <vt:variant>
        <vt:i4>5</vt:i4>
      </vt:variant>
      <vt:variant>
        <vt:lpwstr>https://sede.agenciatributaria.gob.es/Sede/ayuda/manuales-videos-folletos/manuales-ayuda-presentacion/irpf-2022/10-cumplimentacion-irpf-deducciones-autonomicas/10_3-principado-asturias/10_3_4-adquisicion-rehabilitacion-zonas-rurales/10_3_4_1-concejos-riesgo-despoblacion.html</vt:lpwstr>
      </vt:variant>
      <vt:variant>
        <vt:lpwstr/>
      </vt:variant>
      <vt:variant>
        <vt:i4>3997767</vt:i4>
      </vt:variant>
      <vt:variant>
        <vt:i4>723</vt:i4>
      </vt:variant>
      <vt:variant>
        <vt:i4>0</vt:i4>
      </vt:variant>
      <vt:variant>
        <vt:i4>5</vt:i4>
      </vt:variant>
      <vt:variant>
        <vt:lpwstr>https://noticias.juridicas.com/base_datos/CCAA/538599-decreto-legislativo-2-2014-de-22-de-octubre-por-el-que-se-aprueba-el-texto.html</vt:lpwstr>
      </vt:variant>
      <vt:variant>
        <vt:lpwstr>a31b</vt:lpwstr>
      </vt:variant>
      <vt:variant>
        <vt:i4>3342382</vt:i4>
      </vt:variant>
      <vt:variant>
        <vt:i4>720</vt:i4>
      </vt:variant>
      <vt:variant>
        <vt:i4>0</vt:i4>
      </vt:variant>
      <vt:variant>
        <vt:i4>5</vt:i4>
      </vt:variant>
      <vt:variant>
        <vt:lpwstr>https://docs.google.com/viewer?a=v&amp;pid=sites&amp;srcid=ZGVmYXVsdGRvbWFpbnxsZXZhbnRlbm90fGd4OjRiYzI2NjA2ZTZjNDI5MDQ</vt:lpwstr>
      </vt:variant>
      <vt:variant>
        <vt:lpwstr/>
      </vt:variant>
      <vt:variant>
        <vt:i4>2228245</vt:i4>
      </vt:variant>
      <vt:variant>
        <vt:i4>717</vt:i4>
      </vt:variant>
      <vt:variant>
        <vt:i4>0</vt:i4>
      </vt:variant>
      <vt:variant>
        <vt:i4>5</vt:i4>
      </vt:variant>
      <vt:variant>
        <vt:lpwstr>http://noticias.juridicas.com/base_datos/CCAA/538599-decreto-legislativo-2-2014-de-22-de-octubre-por-el-que-se-aprueba-el-texto.html</vt:lpwstr>
      </vt:variant>
      <vt:variant>
        <vt:lpwstr>a26</vt:lpwstr>
      </vt:variant>
      <vt:variant>
        <vt:i4>1048692</vt:i4>
      </vt:variant>
      <vt:variant>
        <vt:i4>714</vt:i4>
      </vt:variant>
      <vt:variant>
        <vt:i4>0</vt:i4>
      </vt:variant>
      <vt:variant>
        <vt:i4>5</vt:i4>
      </vt:variant>
      <vt:variant>
        <vt:lpwstr>http://noticias.juridicas.com/base_datos/CCAA/538599-decreto-legislativo-2-2014-de-22-de-octubre-por-el-que-se-aprueba-el-texto.html</vt:lpwstr>
      </vt:variant>
      <vt:variant>
        <vt:lpwstr/>
      </vt:variant>
      <vt:variant>
        <vt:i4>2359312</vt:i4>
      </vt:variant>
      <vt:variant>
        <vt:i4>711</vt:i4>
      </vt:variant>
      <vt:variant>
        <vt:i4>0</vt:i4>
      </vt:variant>
      <vt:variant>
        <vt:i4>5</vt:i4>
      </vt:variant>
      <vt:variant>
        <vt:lpwstr>http://noticias.juridicas.com/base_datos/CCAA/538599-decreto-legislativo-2-2014-de-22-de-octubre-por-el-que-se-aprueba-el-texto.html</vt:lpwstr>
      </vt:variant>
      <vt:variant>
        <vt:lpwstr>t1c4s1</vt:lpwstr>
      </vt:variant>
      <vt:variant>
        <vt:i4>6160413</vt:i4>
      </vt:variant>
      <vt:variant>
        <vt:i4>708</vt:i4>
      </vt:variant>
      <vt:variant>
        <vt:i4>0</vt:i4>
      </vt:variant>
      <vt:variant>
        <vt:i4>5</vt:i4>
      </vt:variant>
      <vt:variant>
        <vt:lpwstr>https://sede.asturias.es/portal/site/Asturias/menuitem.1003733838db7342ebc4e191100000f7/?vgnextoid=d7d79d16b61ee010VgnVCM1000000100007fRCRD&amp;fecha=14/07/2010&amp;refArticulo=2010-15855&amp;i18n.http.lang=es</vt:lpwstr>
      </vt:variant>
      <vt:variant>
        <vt:lpwstr/>
      </vt:variant>
      <vt:variant>
        <vt:i4>6946855</vt:i4>
      </vt:variant>
      <vt:variant>
        <vt:i4>705</vt:i4>
      </vt:variant>
      <vt:variant>
        <vt:i4>0</vt:i4>
      </vt:variant>
      <vt:variant>
        <vt:i4>5</vt:i4>
      </vt:variant>
      <vt:variant>
        <vt:lpwstr>https://sede.asturias.es/portal/site/Asturias/menuitem.1003733838db7342ebc4e191100000f7/?vgnextoid=d7d79d16b61ee010VgnVCM1000000100007fRCRD&amp;fecha=31/12/2002&amp;refArticulo=2002-2231003&amp;i18n.http.lang=es</vt:lpwstr>
      </vt:variant>
      <vt:variant>
        <vt:lpwstr/>
      </vt:variant>
      <vt:variant>
        <vt:i4>131104</vt:i4>
      </vt:variant>
      <vt:variant>
        <vt:i4>702</vt:i4>
      </vt:variant>
      <vt:variant>
        <vt:i4>0</vt:i4>
      </vt:variant>
      <vt:variant>
        <vt:i4>5</vt:i4>
      </vt:variant>
      <vt:variant>
        <vt:lpwstr>https://petete.tributos.hacienda.gob.es/consultas/?num_consulta=V2735-07</vt:lpwstr>
      </vt:variant>
      <vt:variant>
        <vt:lpwstr/>
      </vt:variant>
      <vt:variant>
        <vt:i4>327718</vt:i4>
      </vt:variant>
      <vt:variant>
        <vt:i4>699</vt:i4>
      </vt:variant>
      <vt:variant>
        <vt:i4>0</vt:i4>
      </vt:variant>
      <vt:variant>
        <vt:i4>5</vt:i4>
      </vt:variant>
      <vt:variant>
        <vt:lpwstr>https://petete.tributos.hacienda.gob.es/consultas/?num_consulta=V0722-13</vt:lpwstr>
      </vt:variant>
      <vt:variant>
        <vt:lpwstr/>
      </vt:variant>
      <vt:variant>
        <vt:i4>1638488</vt:i4>
      </vt:variant>
      <vt:variant>
        <vt:i4>696</vt:i4>
      </vt:variant>
      <vt:variant>
        <vt:i4>0</vt:i4>
      </vt:variant>
      <vt:variant>
        <vt:i4>5</vt:i4>
      </vt:variant>
      <vt:variant>
        <vt:lpwstr>http://petete.minhap.gob.es/Scripts/know3.exe/tributos/CONSUVIN/texto.htm?NDoc=37895&amp;Consulta=%2EEN+NUM%2DCONSULTA+%28V0%39%33%34%2D%31%36%29&amp;Pos=0&amp;UD=1</vt:lpwstr>
      </vt:variant>
      <vt:variant>
        <vt:lpwstr/>
      </vt:variant>
      <vt:variant>
        <vt:i4>5242899</vt:i4>
      </vt:variant>
      <vt:variant>
        <vt:i4>693</vt:i4>
      </vt:variant>
      <vt:variant>
        <vt:i4>0</vt:i4>
      </vt:variant>
      <vt:variant>
        <vt:i4>5</vt:i4>
      </vt:variant>
      <vt:variant>
        <vt:lpwstr>http://petete.minhap.gob.es/Scripts/know3.exe/tributos/CONSUVIN/texto.htm?NDoc=34315&amp;Consulta=%2EEN+FECHA%2DSALIDA+%28%32%32%2F0%35%2F%320%31%35%29&amp;Pos=3</vt:lpwstr>
      </vt:variant>
      <vt:variant>
        <vt:lpwstr/>
      </vt:variant>
      <vt:variant>
        <vt:i4>3276852</vt:i4>
      </vt:variant>
      <vt:variant>
        <vt:i4>690</vt:i4>
      </vt:variant>
      <vt:variant>
        <vt:i4>0</vt:i4>
      </vt:variant>
      <vt:variant>
        <vt:i4>5</vt:i4>
      </vt:variant>
      <vt:variant>
        <vt:lpwstr>https://docs.google.com/viewer?a=v&amp;pid=sites&amp;srcid=ZGVmYXVsdGRvbWFpbnxsZXZhbnRlbm90fGd4OjJmZWNiZTQwZTI4OGRkMTA</vt:lpwstr>
      </vt:variant>
      <vt:variant>
        <vt:lpwstr/>
      </vt:variant>
      <vt:variant>
        <vt:i4>2228245</vt:i4>
      </vt:variant>
      <vt:variant>
        <vt:i4>687</vt:i4>
      </vt:variant>
      <vt:variant>
        <vt:i4>0</vt:i4>
      </vt:variant>
      <vt:variant>
        <vt:i4>5</vt:i4>
      </vt:variant>
      <vt:variant>
        <vt:lpwstr>http://noticias.juridicas.com/base_datos/CCAA/538599-decreto-legislativo-2-2014-de-22-de-octubre-por-el-que-se-aprueba-el-texto.html</vt:lpwstr>
      </vt:variant>
      <vt:variant>
        <vt:lpwstr>a24</vt:lpwstr>
      </vt:variant>
      <vt:variant>
        <vt:i4>7798909</vt:i4>
      </vt:variant>
      <vt:variant>
        <vt:i4>684</vt:i4>
      </vt:variant>
      <vt:variant>
        <vt:i4>0</vt:i4>
      </vt:variant>
      <vt:variant>
        <vt:i4>5</vt:i4>
      </vt:variant>
      <vt:variant>
        <vt:lpwstr>http://www.boe.es/boe/dias/2013/03/04/pdfs/BOE-A-2013-2371.pdf</vt:lpwstr>
      </vt:variant>
      <vt:variant>
        <vt:lpwstr/>
      </vt:variant>
      <vt:variant>
        <vt:i4>2949211</vt:i4>
      </vt:variant>
      <vt:variant>
        <vt:i4>681</vt:i4>
      </vt:variant>
      <vt:variant>
        <vt:i4>0</vt:i4>
      </vt:variant>
      <vt:variant>
        <vt:i4>5</vt:i4>
      </vt:variant>
      <vt:variant>
        <vt:lpwstr>http://noticias.juridicas.com/base_datos/CCAA/as-l4-2002.html</vt:lpwstr>
      </vt:variant>
      <vt:variant>
        <vt:lpwstr>a5</vt:lpwstr>
      </vt:variant>
      <vt:variant>
        <vt:i4>6946870</vt:i4>
      </vt:variant>
      <vt:variant>
        <vt:i4>678</vt:i4>
      </vt:variant>
      <vt:variant>
        <vt:i4>0</vt:i4>
      </vt:variant>
      <vt:variant>
        <vt:i4>5</vt:i4>
      </vt:variant>
      <vt:variant>
        <vt:lpwstr>https://sede.asturias.es/bopa-disposiciones?p_p_id=pa_sede_bopa_web_portlet_SedeBopaDispositionWeb&amp;p_p_lifecycle=0&amp;_pa_sede_bopa_web_portlet_SedeBopaDispositionWeb_mvcRenderCommandName=%2Fdisposition%2Fdetail&amp;p_r_p_dispositionText=2023-00778&amp;p_r_p_dispositionReference=2023-00778&amp;p_r_p_dispositionDate=13%2F02%2F2023</vt:lpwstr>
      </vt:variant>
      <vt:variant>
        <vt:lpwstr/>
      </vt:variant>
      <vt:variant>
        <vt:i4>1835026</vt:i4>
      </vt:variant>
      <vt:variant>
        <vt:i4>675</vt:i4>
      </vt:variant>
      <vt:variant>
        <vt:i4>0</vt:i4>
      </vt:variant>
      <vt:variant>
        <vt:i4>5</vt:i4>
      </vt:variant>
      <vt:variant>
        <vt:lpwstr>https://sede.asturias.es/Asturias/SERVICIOS/20021404_solicitud_7.pdf</vt:lpwstr>
      </vt:variant>
      <vt:variant>
        <vt:lpwstr/>
      </vt:variant>
      <vt:variant>
        <vt:i4>2949245</vt:i4>
      </vt:variant>
      <vt:variant>
        <vt:i4>672</vt:i4>
      </vt:variant>
      <vt:variant>
        <vt:i4>0</vt:i4>
      </vt:variant>
      <vt:variant>
        <vt:i4>5</vt:i4>
      </vt:variant>
      <vt:variant>
        <vt:lpwstr>https://sede.asturias.es/portal/site/Asturias/menuitem.46a76b28f520ecaaf18e90dbbb30a0a0/?vgnextoid=9767c159b5d4f010VgnVCM100000b0030a0aRCRD</vt:lpwstr>
      </vt:variant>
      <vt:variant>
        <vt:lpwstr/>
      </vt:variant>
      <vt:variant>
        <vt:i4>7929966</vt:i4>
      </vt:variant>
      <vt:variant>
        <vt:i4>669</vt:i4>
      </vt:variant>
      <vt:variant>
        <vt:i4>0</vt:i4>
      </vt:variant>
      <vt:variant>
        <vt:i4>5</vt:i4>
      </vt:variant>
      <vt:variant>
        <vt:lpwstr>https://sede.asturias.es/bopa/disposiciones/repositorio/LEGISLACION14/66/2/AA3201E34F2645E398D33CBA2A416585.pdf</vt:lpwstr>
      </vt:variant>
      <vt:variant>
        <vt:lpwstr/>
      </vt:variant>
      <vt:variant>
        <vt:i4>1572922</vt:i4>
      </vt:variant>
      <vt:variant>
        <vt:i4>666</vt:i4>
      </vt:variant>
      <vt:variant>
        <vt:i4>0</vt:i4>
      </vt:variant>
      <vt:variant>
        <vt:i4>5</vt:i4>
      </vt:variant>
      <vt:variant>
        <vt:lpwstr>http://noticias.juridicas.com/base_datos/CCAA/as-l4-2002.html</vt:lpwstr>
      </vt:variant>
      <vt:variant>
        <vt:lpwstr/>
      </vt:variant>
      <vt:variant>
        <vt:i4>655456</vt:i4>
      </vt:variant>
      <vt:variant>
        <vt:i4>663</vt:i4>
      </vt:variant>
      <vt:variant>
        <vt:i4>0</vt:i4>
      </vt:variant>
      <vt:variant>
        <vt:i4>5</vt:i4>
      </vt:variant>
      <vt:variant>
        <vt:lpwstr>http://noticias.juridicas.com/base_datos/Fiscal/l58-2003.t3.html</vt:lpwstr>
      </vt:variant>
      <vt:variant>
        <vt:lpwstr>a119</vt:lpwstr>
      </vt:variant>
      <vt:variant>
        <vt:i4>2359350</vt:i4>
      </vt:variant>
      <vt:variant>
        <vt:i4>660</vt:i4>
      </vt:variant>
      <vt:variant>
        <vt:i4>0</vt:i4>
      </vt:variant>
      <vt:variant>
        <vt:i4>5</vt:i4>
      </vt:variant>
      <vt:variant>
        <vt:lpwstr>http://www.notariosyregistradores.com/consultas-DGTr/2013-MAYO.htm</vt:lpwstr>
      </vt:variant>
      <vt:variant>
        <vt:lpwstr/>
      </vt:variant>
      <vt:variant>
        <vt:i4>655456</vt:i4>
      </vt:variant>
      <vt:variant>
        <vt:i4>657</vt:i4>
      </vt:variant>
      <vt:variant>
        <vt:i4>0</vt:i4>
      </vt:variant>
      <vt:variant>
        <vt:i4>5</vt:i4>
      </vt:variant>
      <vt:variant>
        <vt:lpwstr>http://noticias.juridicas.com/base_datos/Fiscal/l58-2003.t3.html</vt:lpwstr>
      </vt:variant>
      <vt:variant>
        <vt:lpwstr>a119</vt:lpwstr>
      </vt:variant>
      <vt:variant>
        <vt:i4>3473517</vt:i4>
      </vt:variant>
      <vt:variant>
        <vt:i4>654</vt:i4>
      </vt:variant>
      <vt:variant>
        <vt:i4>0</vt:i4>
      </vt:variant>
      <vt:variant>
        <vt:i4>5</vt:i4>
      </vt:variant>
      <vt:variant>
        <vt:lpwstr>https://sede.asturias.es/bopa/2010/11/09/2010-23529.pdf</vt:lpwstr>
      </vt:variant>
      <vt:variant>
        <vt:lpwstr/>
      </vt:variant>
      <vt:variant>
        <vt:i4>1769476</vt:i4>
      </vt:variant>
      <vt:variant>
        <vt:i4>651</vt:i4>
      </vt:variant>
      <vt:variant>
        <vt:i4>0</vt:i4>
      </vt:variant>
      <vt:variant>
        <vt:i4>5</vt:i4>
      </vt:variant>
      <vt:variant>
        <vt:lpwstr>https://www.tributasenasturias.es/imgvcm/stpa/PDF/Ficheros/Normativa/Resolucion200510.pdf</vt:lpwstr>
      </vt:variant>
      <vt:variant>
        <vt:lpwstr/>
      </vt:variant>
      <vt:variant>
        <vt:i4>3473517</vt:i4>
      </vt:variant>
      <vt:variant>
        <vt:i4>648</vt:i4>
      </vt:variant>
      <vt:variant>
        <vt:i4>0</vt:i4>
      </vt:variant>
      <vt:variant>
        <vt:i4>5</vt:i4>
      </vt:variant>
      <vt:variant>
        <vt:lpwstr>https://sede.asturias.es/bopa/2010/11/09/2010-23529.pdf</vt:lpwstr>
      </vt:variant>
      <vt:variant>
        <vt:lpwstr/>
      </vt:variant>
      <vt:variant>
        <vt:i4>3473517</vt:i4>
      </vt:variant>
      <vt:variant>
        <vt:i4>645</vt:i4>
      </vt:variant>
      <vt:variant>
        <vt:i4>0</vt:i4>
      </vt:variant>
      <vt:variant>
        <vt:i4>5</vt:i4>
      </vt:variant>
      <vt:variant>
        <vt:lpwstr>https://sede.asturias.es/bopa/2010/11/09/2010-23529.pdf</vt:lpwstr>
      </vt:variant>
      <vt:variant>
        <vt:lpwstr/>
      </vt:variant>
      <vt:variant>
        <vt:i4>2424853</vt:i4>
      </vt:variant>
      <vt:variant>
        <vt:i4>642</vt:i4>
      </vt:variant>
      <vt:variant>
        <vt:i4>0</vt:i4>
      </vt:variant>
      <vt:variant>
        <vt:i4>5</vt:i4>
      </vt:variant>
      <vt:variant>
        <vt:lpwstr>http://noticias.juridicas.com/base_datos/CCAA/538599-decreto-legislativo-2-2014-de-22-de-octubre-por-el-que-se-aprueba-el-texto.html</vt:lpwstr>
      </vt:variant>
      <vt:variant>
        <vt:lpwstr>a52</vt:lpwstr>
      </vt:variant>
      <vt:variant>
        <vt:i4>3080229</vt:i4>
      </vt:variant>
      <vt:variant>
        <vt:i4>639</vt:i4>
      </vt:variant>
      <vt:variant>
        <vt:i4>0</vt:i4>
      </vt:variant>
      <vt:variant>
        <vt:i4>5</vt:i4>
      </vt:variant>
      <vt:variant>
        <vt:lpwstr>https://sede.tributasenasturias.es/sede/Servicios/AgregarDocumentacion</vt:lpwstr>
      </vt:variant>
      <vt:variant>
        <vt:lpwstr/>
      </vt:variant>
      <vt:variant>
        <vt:i4>3735561</vt:i4>
      </vt:variant>
      <vt:variant>
        <vt:i4>636</vt:i4>
      </vt:variant>
      <vt:variant>
        <vt:i4>0</vt:i4>
      </vt:variant>
      <vt:variant>
        <vt:i4>5</vt:i4>
      </vt:variant>
      <vt:variant>
        <vt:lpwstr>mailto:sucesiones@tributas.es</vt:lpwstr>
      </vt:variant>
      <vt:variant>
        <vt:lpwstr/>
      </vt:variant>
      <vt:variant>
        <vt:i4>1703967</vt:i4>
      </vt:variant>
      <vt:variant>
        <vt:i4>633</vt:i4>
      </vt:variant>
      <vt:variant>
        <vt:i4>0</vt:i4>
      </vt:variant>
      <vt:variant>
        <vt:i4>5</vt:i4>
      </vt:variant>
      <vt:variant>
        <vt:lpwstr>https://sede.tributasenasturias.es/sede/Servicios/Programa+de+Ayudas</vt:lpwstr>
      </vt:variant>
      <vt:variant>
        <vt:lpwstr/>
      </vt:variant>
      <vt:variant>
        <vt:i4>3014690</vt:i4>
      </vt:variant>
      <vt:variant>
        <vt:i4>630</vt:i4>
      </vt:variant>
      <vt:variant>
        <vt:i4>0</vt:i4>
      </vt:variant>
      <vt:variant>
        <vt:i4>5</vt:i4>
      </vt:variant>
      <vt:variant>
        <vt:lpwstr>https://docs.google.com/viewer?a=v&amp;pid=sites&amp;srcid=ZGVmYXVsdGRvbWFpbnxsZXZhbnRlbm90fGd4OjIwMGQ0OWE4N2NjMjAxMWU</vt:lpwstr>
      </vt:variant>
      <vt:variant>
        <vt:lpwstr/>
      </vt:variant>
      <vt:variant>
        <vt:i4>1310783</vt:i4>
      </vt:variant>
      <vt:variant>
        <vt:i4>627</vt:i4>
      </vt:variant>
      <vt:variant>
        <vt:i4>0</vt:i4>
      </vt:variant>
      <vt:variant>
        <vt:i4>5</vt:i4>
      </vt:variant>
      <vt:variant>
        <vt:lpwstr>https://sede.tributasenasturias.es/sites/sede/default/es_ES/</vt:lpwstr>
      </vt:variant>
      <vt:variant>
        <vt:lpwstr/>
      </vt:variant>
      <vt:variant>
        <vt:i4>7667753</vt:i4>
      </vt:variant>
      <vt:variant>
        <vt:i4>624</vt:i4>
      </vt:variant>
      <vt:variant>
        <vt:i4>0</vt:i4>
      </vt:variant>
      <vt:variant>
        <vt:i4>5</vt:i4>
      </vt:variant>
      <vt:variant>
        <vt:lpwstr>https://www.tributasenasturias.es/imgvcm/stpa/PDF/Ficheros/Normativa/Decreto1212013.pdf</vt:lpwstr>
      </vt:variant>
      <vt:variant>
        <vt:lpwstr/>
      </vt:variant>
      <vt:variant>
        <vt:i4>1507400</vt:i4>
      </vt:variant>
      <vt:variant>
        <vt:i4>621</vt:i4>
      </vt:variant>
      <vt:variant>
        <vt:i4>0</vt:i4>
      </vt:variant>
      <vt:variant>
        <vt:i4>5</vt:i4>
      </vt:variant>
      <vt:variant>
        <vt:lpwstr>http://www.poderjudicial.es/search/AN/openDocument/d5a3a2133e9d3be6/20210208</vt:lpwstr>
      </vt:variant>
      <vt:variant>
        <vt:lpwstr/>
      </vt:variant>
      <vt:variant>
        <vt:i4>5111818</vt:i4>
      </vt:variant>
      <vt:variant>
        <vt:i4>618</vt:i4>
      </vt:variant>
      <vt:variant>
        <vt:i4>0</vt:i4>
      </vt:variant>
      <vt:variant>
        <vt:i4>5</vt:i4>
      </vt:variant>
      <vt:variant>
        <vt:lpwstr>http://www.oviedonotaria.com/</vt:lpwstr>
      </vt:variant>
      <vt:variant>
        <vt:lpwstr/>
      </vt:variant>
      <vt:variant>
        <vt:i4>6815864</vt:i4>
      </vt:variant>
      <vt:variant>
        <vt:i4>615</vt:i4>
      </vt:variant>
      <vt:variant>
        <vt:i4>0</vt:i4>
      </vt:variant>
      <vt:variant>
        <vt:i4>5</vt:i4>
      </vt:variant>
      <vt:variant>
        <vt:lpwstr>https://www1.sedecatastro.gob.es/Accesos/SECAccvr.aspx</vt:lpwstr>
      </vt:variant>
      <vt:variant>
        <vt:lpwstr/>
      </vt:variant>
      <vt:variant>
        <vt:i4>1966146</vt:i4>
      </vt:variant>
      <vt:variant>
        <vt:i4>612</vt:i4>
      </vt:variant>
      <vt:variant>
        <vt:i4>0</vt:i4>
      </vt:variant>
      <vt:variant>
        <vt:i4>5</vt:i4>
      </vt:variant>
      <vt:variant>
        <vt:lpwstr>https://www.boe.es/buscar/act.php?id=BOE-A-2021-16584</vt:lpwstr>
      </vt:variant>
      <vt:variant>
        <vt:lpwstr/>
      </vt:variant>
      <vt:variant>
        <vt:i4>196632</vt:i4>
      </vt:variant>
      <vt:variant>
        <vt:i4>609</vt:i4>
      </vt:variant>
      <vt:variant>
        <vt:i4>0</vt:i4>
      </vt:variant>
      <vt:variant>
        <vt:i4>5</vt:i4>
      </vt:variant>
      <vt:variant>
        <vt:lpwstr>https://www.sedecatastro.gob.es/Accesos/SECAccDNI.aspx?Dest=50&amp;ejercicio=2022</vt:lpwstr>
      </vt:variant>
      <vt:variant>
        <vt:lpwstr/>
      </vt:variant>
      <vt:variant>
        <vt:i4>3473477</vt:i4>
      </vt:variant>
      <vt:variant>
        <vt:i4>606</vt:i4>
      </vt:variant>
      <vt:variant>
        <vt:i4>0</vt:i4>
      </vt:variant>
      <vt:variant>
        <vt:i4>5</vt:i4>
      </vt:variant>
      <vt:variant>
        <vt:lpwstr>https://noticias.juridicas.com/base_datos/Fiscal/l29-1987.html</vt:lpwstr>
      </vt:variant>
      <vt:variant>
        <vt:lpwstr>a9</vt:lpwstr>
      </vt:variant>
      <vt:variant>
        <vt:i4>4915312</vt:i4>
      </vt:variant>
      <vt:variant>
        <vt:i4>603</vt:i4>
      </vt:variant>
      <vt:variant>
        <vt:i4>0</vt:i4>
      </vt:variant>
      <vt:variant>
        <vt:i4>5</vt:i4>
      </vt:variant>
      <vt:variant>
        <vt:lpwstr>https://noticias.juridicas.com/base_datos/Fiscal/rdleg1-1993.t2.html</vt:lpwstr>
      </vt:variant>
      <vt:variant>
        <vt:lpwstr>a10</vt:lpwstr>
      </vt:variant>
      <vt:variant>
        <vt:i4>3932224</vt:i4>
      </vt:variant>
      <vt:variant>
        <vt:i4>600</vt:i4>
      </vt:variant>
      <vt:variant>
        <vt:i4>0</vt:i4>
      </vt:variant>
      <vt:variant>
        <vt:i4>5</vt:i4>
      </vt:variant>
      <vt:variant>
        <vt:lpwstr>https://noticias.juridicas.com/base_datos/Fiscal/l19-1991.html</vt:lpwstr>
      </vt:variant>
      <vt:variant>
        <vt:lpwstr>a10</vt:lpwstr>
      </vt:variant>
      <vt:variant>
        <vt:i4>589876</vt:i4>
      </vt:variant>
      <vt:variant>
        <vt:i4>597</vt:i4>
      </vt:variant>
      <vt:variant>
        <vt:i4>0</vt:i4>
      </vt:variant>
      <vt:variant>
        <vt:i4>5</vt:i4>
      </vt:variant>
      <vt:variant>
        <vt:lpwstr>https://noticias.juridicas.com/base_datos/Fiscal/l29-1987.html</vt:lpwstr>
      </vt:variant>
      <vt:variant>
        <vt:lpwstr>c4s1</vt:lpwstr>
      </vt:variant>
      <vt:variant>
        <vt:i4>721003</vt:i4>
      </vt:variant>
      <vt:variant>
        <vt:i4>594</vt:i4>
      </vt:variant>
      <vt:variant>
        <vt:i4>0</vt:i4>
      </vt:variant>
      <vt:variant>
        <vt:i4>5</vt:i4>
      </vt:variant>
      <vt:variant>
        <vt:lpwstr>https://noticias.juridicas.com/base_datos/Fiscal/r62-rdleg1-1993.t2.html</vt:lpwstr>
      </vt:variant>
      <vt:variant>
        <vt:lpwstr>a10</vt:lpwstr>
      </vt:variant>
      <vt:variant>
        <vt:i4>5111930</vt:i4>
      </vt:variant>
      <vt:variant>
        <vt:i4>591</vt:i4>
      </vt:variant>
      <vt:variant>
        <vt:i4>0</vt:i4>
      </vt:variant>
      <vt:variant>
        <vt:i4>5</vt:i4>
      </vt:variant>
      <vt:variant>
        <vt:lpwstr>https://noticias.juridicas.com/base_datos/Fiscal/702808-l-11-2021-de-jul-medidas-prevencion-y-lucha-contra-fraude-fiscal-transposicion.html</vt:lpwstr>
      </vt:variant>
      <vt:variant>
        <vt:lpwstr/>
      </vt:variant>
      <vt:variant>
        <vt:i4>7667753</vt:i4>
      </vt:variant>
      <vt:variant>
        <vt:i4>588</vt:i4>
      </vt:variant>
      <vt:variant>
        <vt:i4>0</vt:i4>
      </vt:variant>
      <vt:variant>
        <vt:i4>5</vt:i4>
      </vt:variant>
      <vt:variant>
        <vt:lpwstr>https://www.tributasenasturias.es/imgvcm/stpa/PDF/Ficheros/Normativa/Decreto1212013.pdf</vt:lpwstr>
      </vt:variant>
      <vt:variant>
        <vt:lpwstr/>
      </vt:variant>
      <vt:variant>
        <vt:i4>6225933</vt:i4>
      </vt:variant>
      <vt:variant>
        <vt:i4>585</vt:i4>
      </vt:variant>
      <vt:variant>
        <vt:i4>0</vt:i4>
      </vt:variant>
      <vt:variant>
        <vt:i4>5</vt:i4>
      </vt:variant>
      <vt:variant>
        <vt:lpwstr>https://www.tributasenasturias.es/stpa/Ciudadanos+y+Empresas/Oficina+Virtual/Sin+certificado+digital/Calculo+de+Valoraciones</vt:lpwstr>
      </vt:variant>
      <vt:variant>
        <vt:lpwstr/>
      </vt:variant>
      <vt:variant>
        <vt:i4>4063330</vt:i4>
      </vt:variant>
      <vt:variant>
        <vt:i4>582</vt:i4>
      </vt:variant>
      <vt:variant>
        <vt:i4>0</vt:i4>
      </vt:variant>
      <vt:variant>
        <vt:i4>5</vt:i4>
      </vt:variant>
      <vt:variant>
        <vt:lpwstr>https://sede.asturias.es/bopa/2017/12/29/2017-14492.pdf</vt:lpwstr>
      </vt:variant>
      <vt:variant>
        <vt:lpwstr/>
      </vt:variant>
      <vt:variant>
        <vt:i4>1638412</vt:i4>
      </vt:variant>
      <vt:variant>
        <vt:i4>579</vt:i4>
      </vt:variant>
      <vt:variant>
        <vt:i4>0</vt:i4>
      </vt:variant>
      <vt:variant>
        <vt:i4>5</vt:i4>
      </vt:variant>
      <vt:variant>
        <vt:lpwstr>https://www.tributasenasturias.es/imgvcm/stpa/PDF/Ficheros/Normativa/Resolucion191216.pdf</vt:lpwstr>
      </vt:variant>
      <vt:variant>
        <vt:lpwstr/>
      </vt:variant>
      <vt:variant>
        <vt:i4>4915206</vt:i4>
      </vt:variant>
      <vt:variant>
        <vt:i4>576</vt:i4>
      </vt:variant>
      <vt:variant>
        <vt:i4>0</vt:i4>
      </vt:variant>
      <vt:variant>
        <vt:i4>5</vt:i4>
      </vt:variant>
      <vt:variant>
        <vt:lpwstr>https://sedemovil.asturias.es/bopa/2015/12/31/2015-17993.pdf</vt:lpwstr>
      </vt:variant>
      <vt:variant>
        <vt:lpwstr/>
      </vt:variant>
      <vt:variant>
        <vt:i4>1703937</vt:i4>
      </vt:variant>
      <vt:variant>
        <vt:i4>573</vt:i4>
      </vt:variant>
      <vt:variant>
        <vt:i4>0</vt:i4>
      </vt:variant>
      <vt:variant>
        <vt:i4>5</vt:i4>
      </vt:variant>
      <vt:variant>
        <vt:lpwstr>https://www.tributasenasturias.es/imgvcm/stpa/PDF/Ficheros/Normativa/Resolucion261214.pdf</vt:lpwstr>
      </vt:variant>
      <vt:variant>
        <vt:lpwstr/>
      </vt:variant>
      <vt:variant>
        <vt:i4>7667753</vt:i4>
      </vt:variant>
      <vt:variant>
        <vt:i4>570</vt:i4>
      </vt:variant>
      <vt:variant>
        <vt:i4>0</vt:i4>
      </vt:variant>
      <vt:variant>
        <vt:i4>5</vt:i4>
      </vt:variant>
      <vt:variant>
        <vt:lpwstr>https://www.tributasenasturias.es/imgvcm/stpa/PDF/Ficheros/Normativa/Decreto1212013.pdf</vt:lpwstr>
      </vt:variant>
      <vt:variant>
        <vt:lpwstr/>
      </vt:variant>
      <vt:variant>
        <vt:i4>2097208</vt:i4>
      </vt:variant>
      <vt:variant>
        <vt:i4>567</vt:i4>
      </vt:variant>
      <vt:variant>
        <vt:i4>0</vt:i4>
      </vt:variant>
      <vt:variant>
        <vt:i4>5</vt:i4>
      </vt:variant>
      <vt:variant>
        <vt:lpwstr>http://www.poderjudicial.es/search/contenidos.action?action=contentpdf&amp;databasematch=TS&amp;reference=8750827&amp;statsQueryId=111355011&amp;calledfrom=searchresults&amp;links=&amp;optimize=20190506&amp;publicinterface=true</vt:lpwstr>
      </vt:variant>
      <vt:variant>
        <vt:lpwstr/>
      </vt:variant>
      <vt:variant>
        <vt:i4>1769538</vt:i4>
      </vt:variant>
      <vt:variant>
        <vt:i4>564</vt:i4>
      </vt:variant>
      <vt:variant>
        <vt:i4>0</vt:i4>
      </vt:variant>
      <vt:variant>
        <vt:i4>5</vt:i4>
      </vt:variant>
      <vt:variant>
        <vt:lpwstr>http://www.poderjudicial.es/search/openDocument/0a1cee4148bceea3</vt:lpwstr>
      </vt:variant>
      <vt:variant>
        <vt:lpwstr/>
      </vt:variant>
      <vt:variant>
        <vt:i4>6225933</vt:i4>
      </vt:variant>
      <vt:variant>
        <vt:i4>561</vt:i4>
      </vt:variant>
      <vt:variant>
        <vt:i4>0</vt:i4>
      </vt:variant>
      <vt:variant>
        <vt:i4>5</vt:i4>
      </vt:variant>
      <vt:variant>
        <vt:lpwstr>https://www.tributasenasturias.es/stpa/Ciudadanos+y+Empresas/Oficina+Virtual/Sin+certificado+digital/Calculo+de+Valoraciones</vt:lpwstr>
      </vt:variant>
      <vt:variant>
        <vt:lpwstr/>
      </vt:variant>
      <vt:variant>
        <vt:i4>458836</vt:i4>
      </vt:variant>
      <vt:variant>
        <vt:i4>558</vt:i4>
      </vt:variant>
      <vt:variant>
        <vt:i4>0</vt:i4>
      </vt:variant>
      <vt:variant>
        <vt:i4>5</vt:i4>
      </vt:variant>
      <vt:variant>
        <vt:lpwstr>https://www.tributasenasturias.es/stpa/Ciudadanos+y+Empresas/Oficina+Virtual</vt:lpwstr>
      </vt:variant>
      <vt:variant>
        <vt:lpwstr/>
      </vt:variant>
      <vt:variant>
        <vt:i4>6357096</vt:i4>
      </vt:variant>
      <vt:variant>
        <vt:i4>555</vt:i4>
      </vt:variant>
      <vt:variant>
        <vt:i4>0</vt:i4>
      </vt:variant>
      <vt:variant>
        <vt:i4>5</vt:i4>
      </vt:variant>
      <vt:variant>
        <vt:lpwstr>https://www.tributasenasturias.es/stpa/Ciudadanos+y+Empresas/Normativa</vt:lpwstr>
      </vt:variant>
      <vt:variant>
        <vt:lpwstr/>
      </vt:variant>
      <vt:variant>
        <vt:i4>1572865</vt:i4>
      </vt:variant>
      <vt:variant>
        <vt:i4>552</vt:i4>
      </vt:variant>
      <vt:variant>
        <vt:i4>0</vt:i4>
      </vt:variant>
      <vt:variant>
        <vt:i4>5</vt:i4>
      </vt:variant>
      <vt:variant>
        <vt:lpwstr>https://www.tributasenasturias.es/stpa/Ciudadanos+y+Empresas/Informacion+Tributaria/Catalogo+de+tributos</vt:lpwstr>
      </vt:variant>
      <vt:variant>
        <vt:lpwstr/>
      </vt:variant>
      <vt:variant>
        <vt:i4>3276835</vt:i4>
      </vt:variant>
      <vt:variant>
        <vt:i4>549</vt:i4>
      </vt:variant>
      <vt:variant>
        <vt:i4>0</vt:i4>
      </vt:variant>
      <vt:variant>
        <vt:i4>5</vt:i4>
      </vt:variant>
      <vt:variant>
        <vt:lpwstr>https://www.tributasenasturias.es/stpa/Servicios+Tributarios/Oficinas+de+Servicios+Tributarios</vt:lpwstr>
      </vt:variant>
      <vt:variant>
        <vt:lpwstr/>
      </vt:variant>
      <vt:variant>
        <vt:i4>1835088</vt:i4>
      </vt:variant>
      <vt:variant>
        <vt:i4>546</vt:i4>
      </vt:variant>
      <vt:variant>
        <vt:i4>0</vt:i4>
      </vt:variant>
      <vt:variant>
        <vt:i4>5</vt:i4>
      </vt:variant>
      <vt:variant>
        <vt:lpwstr>http://www.tributasenasturias.es/</vt:lpwstr>
      </vt:variant>
      <vt:variant>
        <vt:lpwstr/>
      </vt:variant>
      <vt:variant>
        <vt:i4>851987</vt:i4>
      </vt:variant>
      <vt:variant>
        <vt:i4>543</vt:i4>
      </vt:variant>
      <vt:variant>
        <vt:i4>0</vt:i4>
      </vt:variant>
      <vt:variant>
        <vt:i4>5</vt:i4>
      </vt:variant>
      <vt:variant>
        <vt:lpwstr>https://www.tributasenasturias.es/imgvcm/stpa/PDF/Ficheros/Normativa/DecretoSTPA.pdf</vt:lpwstr>
      </vt:variant>
      <vt:variant>
        <vt:lpwstr/>
      </vt:variant>
      <vt:variant>
        <vt:i4>1376277</vt:i4>
      </vt:variant>
      <vt:variant>
        <vt:i4>540</vt:i4>
      </vt:variant>
      <vt:variant>
        <vt:i4>0</vt:i4>
      </vt:variant>
      <vt:variant>
        <vt:i4>5</vt:i4>
      </vt:variant>
      <vt:variant>
        <vt:lpwstr>https://www.tributasenasturias.es/imgvcm/stpa/PDF/Ficheros/Normativa/LeySTPA.pdf</vt:lpwstr>
      </vt:variant>
      <vt:variant>
        <vt:lpwstr/>
      </vt:variant>
      <vt:variant>
        <vt:i4>4194344</vt:i4>
      </vt:variant>
      <vt:variant>
        <vt:i4>537</vt:i4>
      </vt:variant>
      <vt:variant>
        <vt:i4>0</vt:i4>
      </vt:variant>
      <vt:variant>
        <vt:i4>5</vt:i4>
      </vt:variant>
      <vt:variant>
        <vt:lpwstr>https://miprincipado.asturias.es/bopa/disposiciones?p_p_id=pa_sede_bopa_web_portlet_SedeBopaDispositionWeb&amp;p_p_lifecycle=0&amp;_pa_sede_bopa_web_portlet_SedeBopaDispositionWeb_mvcRenderCommandName=%2Fdisposition%2Fdetail&amp;p_r_p_dispositionText=2025-09912&amp;p_r_p_dispositionReference=2025-09912&amp;p_r_p_dispositionDate=02%2F12%2F2025</vt:lpwstr>
      </vt:variant>
      <vt:variant>
        <vt:lpwstr/>
      </vt:variant>
      <vt:variant>
        <vt:i4>7012409</vt:i4>
      </vt:variant>
      <vt:variant>
        <vt:i4>534</vt:i4>
      </vt:variant>
      <vt:variant>
        <vt:i4>0</vt:i4>
      </vt:variant>
      <vt:variant>
        <vt:i4>5</vt:i4>
      </vt:variant>
      <vt:variant>
        <vt:lpwstr>https://sede.asturias.es/bopa-disposiciones?p_p_id=pa_sede_bopa_web_portlet_SedeBopaDispositionWeb&amp;p_p_lifecycle=0&amp;_pa_sede_bopa_web_portlet_SedeBopaDispositionWeb_mvcRenderCommandName=%2Fdisposition%2Fdetail&amp;p_r_p_dispositionText=2024-11573&amp;p_r_p_dispositionReference=2024-11573&amp;p_r_p_dispositionDate=31%2F12%2F2024</vt:lpwstr>
      </vt:variant>
      <vt:variant>
        <vt:lpwstr/>
      </vt:variant>
      <vt:variant>
        <vt:i4>7995518</vt:i4>
      </vt:variant>
      <vt:variant>
        <vt:i4>531</vt:i4>
      </vt:variant>
      <vt:variant>
        <vt:i4>0</vt:i4>
      </vt:variant>
      <vt:variant>
        <vt:i4>5</vt:i4>
      </vt:variant>
      <vt:variant>
        <vt:lpwstr>https://www.boe.es/buscar/doc.php?id=BOPA-a-2023-90366</vt:lpwstr>
      </vt:variant>
      <vt:variant>
        <vt:lpwstr/>
      </vt:variant>
      <vt:variant>
        <vt:i4>6422528</vt:i4>
      </vt:variant>
      <vt:variant>
        <vt:i4>528</vt:i4>
      </vt:variant>
      <vt:variant>
        <vt:i4>0</vt:i4>
      </vt:variant>
      <vt:variant>
        <vt:i4>5</vt:i4>
      </vt:variant>
      <vt:variant>
        <vt:lpwstr>https://noticias.juridicas.com/base_datos/CCAA/745113-ley-10-2022-de-30-dic-ca-asturias-presupuestos-generales-para-2023.html</vt:lpwstr>
      </vt:variant>
      <vt:variant>
        <vt:lpwstr/>
      </vt:variant>
      <vt:variant>
        <vt:i4>7143482</vt:i4>
      </vt:variant>
      <vt:variant>
        <vt:i4>525</vt:i4>
      </vt:variant>
      <vt:variant>
        <vt:i4>0</vt:i4>
      </vt:variant>
      <vt:variant>
        <vt:i4>5</vt:i4>
      </vt:variant>
      <vt:variant>
        <vt:lpwstr>https://sede.asturias.es/bopa-disposiciones?p_p_id=pa_sede_bopa_web_portlet_SedeBopaDispositionWeb&amp;p_p_lifecycle=0&amp;_pa_sede_bopa_web_portlet_SedeBopaDispositionWeb_mvcRenderCommandName=%2Fdisposition%2Fdetail&amp;p_r_p_dispositionText=2021-11414&amp;p_r_p_dispositionReference=2021-11414&amp;p_r_p_dispositionDate=31%2F12%2F2021</vt:lpwstr>
      </vt:variant>
      <vt:variant>
        <vt:lpwstr/>
      </vt:variant>
      <vt:variant>
        <vt:i4>6029335</vt:i4>
      </vt:variant>
      <vt:variant>
        <vt:i4>522</vt:i4>
      </vt:variant>
      <vt:variant>
        <vt:i4>0</vt:i4>
      </vt:variant>
      <vt:variant>
        <vt:i4>5</vt:i4>
      </vt:variant>
      <vt:variant>
        <vt:lpwstr>https://sede.asturias.es/portal/site/Asturias/menuitem.1003733838db7342ebc4e191100000f7/?vgnextoid=d7d79d16b61ee010VgnVCM1000000100007fRCRD&amp;fecha=31/12/2020&amp;refArticulo=2020-11546&amp;i18n.http.lang=es</vt:lpwstr>
      </vt:variant>
      <vt:variant>
        <vt:lpwstr/>
      </vt:variant>
      <vt:variant>
        <vt:i4>393281</vt:i4>
      </vt:variant>
      <vt:variant>
        <vt:i4>519</vt:i4>
      </vt:variant>
      <vt:variant>
        <vt:i4>0</vt:i4>
      </vt:variant>
      <vt:variant>
        <vt:i4>5</vt:i4>
      </vt:variant>
      <vt:variant>
        <vt:lpwstr>https://www.boe.es/boe/dias/2018/11/09/pdfs/BOE-A-2018-15344.pdf</vt:lpwstr>
      </vt:variant>
      <vt:variant>
        <vt:lpwstr/>
      </vt:variant>
      <vt:variant>
        <vt:i4>5832810</vt:i4>
      </vt:variant>
      <vt:variant>
        <vt:i4>516</vt:i4>
      </vt:variant>
      <vt:variant>
        <vt:i4>0</vt:i4>
      </vt:variant>
      <vt:variant>
        <vt:i4>5</vt:i4>
      </vt:variant>
      <vt:variant>
        <vt:lpwstr>http://noticias.juridicas.com/base_datos/CCAA/634861-l-14-2018-28-de-dic-ca-asturias-de-presupuestos-generales-para-2019.html</vt:lpwstr>
      </vt:variant>
      <vt:variant>
        <vt:lpwstr>c5s1</vt:lpwstr>
      </vt:variant>
      <vt:variant>
        <vt:i4>1507370</vt:i4>
      </vt:variant>
      <vt:variant>
        <vt:i4>513</vt:i4>
      </vt:variant>
      <vt:variant>
        <vt:i4>0</vt:i4>
      </vt:variant>
      <vt:variant>
        <vt:i4>5</vt:i4>
      </vt:variant>
      <vt:variant>
        <vt:lpwstr>http://noticias.juridicas.com/base_datos/CCAA/601447-l-7-2017-de-30-jun-ca-asturias-tercera-modificacion-del-texto-refundido-de.html</vt:lpwstr>
      </vt:variant>
      <vt:variant>
        <vt:lpwstr/>
      </vt:variant>
      <vt:variant>
        <vt:i4>5308458</vt:i4>
      </vt:variant>
      <vt:variant>
        <vt:i4>510</vt:i4>
      </vt:variant>
      <vt:variant>
        <vt:i4>0</vt:i4>
      </vt:variant>
      <vt:variant>
        <vt:i4>5</vt:i4>
      </vt:variant>
      <vt:variant>
        <vt:lpwstr>http://noticias.juridicas.com/base_datos/CCAA/588320-l-6-2016-de-30-dic-ca-astuiras-de-presupuestos-generales-para-2017.html</vt:lpwstr>
      </vt:variant>
      <vt:variant>
        <vt:lpwstr/>
      </vt:variant>
      <vt:variant>
        <vt:i4>1048692</vt:i4>
      </vt:variant>
      <vt:variant>
        <vt:i4>507</vt:i4>
      </vt:variant>
      <vt:variant>
        <vt:i4>0</vt:i4>
      </vt:variant>
      <vt:variant>
        <vt:i4>5</vt:i4>
      </vt:variant>
      <vt:variant>
        <vt:lpwstr>http://noticias.juridicas.com/base_datos/CCAA/538599-decreto-legislativo-2-2014-de-22-de-octubre-por-el-que-se-aprueba-el-texto.html</vt:lpwstr>
      </vt:variant>
      <vt:variant>
        <vt:lpwstr/>
      </vt:variant>
      <vt:variant>
        <vt:i4>6160413</vt:i4>
      </vt:variant>
      <vt:variant>
        <vt:i4>504</vt:i4>
      </vt:variant>
      <vt:variant>
        <vt:i4>0</vt:i4>
      </vt:variant>
      <vt:variant>
        <vt:i4>5</vt:i4>
      </vt:variant>
      <vt:variant>
        <vt:lpwstr>https://sede.asturias.es/portal/site/Asturias/menuitem.1003733838db7342ebc4e191100000f7/?vgnextoid=d7d79d16b61ee010VgnVCM1000000100007fRCRD&amp;fecha=14/07/2010&amp;refArticulo=2010-15855&amp;i18n.http.lang=es</vt:lpwstr>
      </vt:variant>
      <vt:variant>
        <vt:lpwstr/>
      </vt:variant>
      <vt:variant>
        <vt:i4>5636121</vt:i4>
      </vt:variant>
      <vt:variant>
        <vt:i4>501</vt:i4>
      </vt:variant>
      <vt:variant>
        <vt:i4>0</vt:i4>
      </vt:variant>
      <vt:variant>
        <vt:i4>5</vt:i4>
      </vt:variant>
      <vt:variant>
        <vt:lpwstr>https://sede.asturias.es/portal/site/Asturias/menuitem.1003733838db7342ebc4e191100000f7/?vgnextoid=d7d79d16b61ee010VgnVCM1000000100007fRCRD&amp;fecha=31/12/2008&amp;refArticulo=2008-25602&amp;i18n.http.lang=es</vt:lpwstr>
      </vt:variant>
      <vt:variant>
        <vt:lpwstr/>
      </vt:variant>
      <vt:variant>
        <vt:i4>6815782</vt:i4>
      </vt:variant>
      <vt:variant>
        <vt:i4>498</vt:i4>
      </vt:variant>
      <vt:variant>
        <vt:i4>0</vt:i4>
      </vt:variant>
      <vt:variant>
        <vt:i4>5</vt:i4>
      </vt:variant>
      <vt:variant>
        <vt:lpwstr>https://sede.asturias.es/portal/site/Asturias/menuitem.1003733838db7342ebc4e191100000f7/?vgnextoid=d7d79d16b61ee010VgnVCM1000000100007fRCRD&amp;fecha=30/12/2006&amp;refArticulo=2006-2230066&amp;i18n.http.lang=es</vt:lpwstr>
      </vt:variant>
      <vt:variant>
        <vt:lpwstr/>
      </vt:variant>
      <vt:variant>
        <vt:i4>7012391</vt:i4>
      </vt:variant>
      <vt:variant>
        <vt:i4>495</vt:i4>
      </vt:variant>
      <vt:variant>
        <vt:i4>0</vt:i4>
      </vt:variant>
      <vt:variant>
        <vt:i4>5</vt:i4>
      </vt:variant>
      <vt:variant>
        <vt:lpwstr>https://sede.asturias.es/portal/site/Asturias/menuitem.1003733838db7342ebc4e191100000f7/?vgnextoid=d7d79d16b61ee010VgnVCM1000000100007fRCRD&amp;fecha=31/12/2003&amp;refArticulo=2003-2231002&amp;i18n.http.lang=es</vt:lpwstr>
      </vt:variant>
      <vt:variant>
        <vt:lpwstr/>
      </vt:variant>
      <vt:variant>
        <vt:i4>1048692</vt:i4>
      </vt:variant>
      <vt:variant>
        <vt:i4>492</vt:i4>
      </vt:variant>
      <vt:variant>
        <vt:i4>0</vt:i4>
      </vt:variant>
      <vt:variant>
        <vt:i4>5</vt:i4>
      </vt:variant>
      <vt:variant>
        <vt:lpwstr>http://noticias.juridicas.com/base_datos/CCAA/538599-decreto-legislativo-2-2014-de-22-de-octubre-por-el-que-se-aprueba-el-texto.html</vt:lpwstr>
      </vt:variant>
      <vt:variant>
        <vt:lpwstr/>
      </vt:variant>
      <vt:variant>
        <vt:i4>5636116</vt:i4>
      </vt:variant>
      <vt:variant>
        <vt:i4>489</vt:i4>
      </vt:variant>
      <vt:variant>
        <vt:i4>0</vt:i4>
      </vt:variant>
      <vt:variant>
        <vt:i4>5</vt:i4>
      </vt:variant>
      <vt:variant>
        <vt:lpwstr>https://sede.asturias.es/portal/site/Asturias/menuitem.1003733838db7342ebc4e191100000f7/?vgnextoid=d7d79d16b61ee010VgnVCM1000000100007fRCRD&amp;fecha=24/03/2020&amp;refArticulo=2020-02796&amp;i18n.http.lang=es</vt:lpwstr>
      </vt:variant>
      <vt:variant>
        <vt:lpwstr/>
      </vt:variant>
      <vt:variant>
        <vt:i4>5832810</vt:i4>
      </vt:variant>
      <vt:variant>
        <vt:i4>486</vt:i4>
      </vt:variant>
      <vt:variant>
        <vt:i4>0</vt:i4>
      </vt:variant>
      <vt:variant>
        <vt:i4>5</vt:i4>
      </vt:variant>
      <vt:variant>
        <vt:lpwstr>http://noticias.juridicas.com/base_datos/CCAA/634861-l-14-2018-28-de-dic-ca-asturias-de-presupuestos-generales-para-2019.html</vt:lpwstr>
      </vt:variant>
      <vt:variant>
        <vt:lpwstr>c5s1</vt:lpwstr>
      </vt:variant>
      <vt:variant>
        <vt:i4>4653102</vt:i4>
      </vt:variant>
      <vt:variant>
        <vt:i4>483</vt:i4>
      </vt:variant>
      <vt:variant>
        <vt:i4>0</vt:i4>
      </vt:variant>
      <vt:variant>
        <vt:i4>5</vt:i4>
      </vt:variant>
      <vt:variant>
        <vt:lpwstr>http://www.registradores.org/wp-content/revista/bitplus/pdf/BITplus_230.pdf</vt:lpwstr>
      </vt:variant>
      <vt:variant>
        <vt:lpwstr/>
      </vt:variant>
      <vt:variant>
        <vt:i4>2555989</vt:i4>
      </vt:variant>
      <vt:variant>
        <vt:i4>480</vt:i4>
      </vt:variant>
      <vt:variant>
        <vt:i4>0</vt:i4>
      </vt:variant>
      <vt:variant>
        <vt:i4>5</vt:i4>
      </vt:variant>
      <vt:variant>
        <vt:lpwstr>http://noticias.juridicas.com/base_datos/Fiscal/640120-l-5-2019-de-15-mar-reguladora-de-los-contratos-de-credito-inmobiliario.html</vt:lpwstr>
      </vt:variant>
      <vt:variant>
        <vt:lpwstr>cpdf2</vt:lpwstr>
      </vt:variant>
      <vt:variant>
        <vt:i4>5242916</vt:i4>
      </vt:variant>
      <vt:variant>
        <vt:i4>477</vt:i4>
      </vt:variant>
      <vt:variant>
        <vt:i4>0</vt:i4>
      </vt:variant>
      <vt:variant>
        <vt:i4>5</vt:i4>
      </vt:variant>
      <vt:variant>
        <vt:lpwstr>http://noticias.juridicas.com/base_datos/Fiscal/r49-rdleg1-1993.t5.html</vt:lpwstr>
      </vt:variant>
      <vt:variant>
        <vt:lpwstr>a45</vt:lpwstr>
      </vt:variant>
      <vt:variant>
        <vt:i4>3932245</vt:i4>
      </vt:variant>
      <vt:variant>
        <vt:i4>474</vt:i4>
      </vt:variant>
      <vt:variant>
        <vt:i4>0</vt:i4>
      </vt:variant>
      <vt:variant>
        <vt:i4>5</vt:i4>
      </vt:variant>
      <vt:variant>
        <vt:lpwstr>http://noticias.juridicas.com/base_datos/Fiscal/l20-1990.t5.html</vt:lpwstr>
      </vt:variant>
      <vt:variant>
        <vt:lpwstr>a39</vt:lpwstr>
      </vt:variant>
      <vt:variant>
        <vt:i4>3932244</vt:i4>
      </vt:variant>
      <vt:variant>
        <vt:i4>471</vt:i4>
      </vt:variant>
      <vt:variant>
        <vt:i4>0</vt:i4>
      </vt:variant>
      <vt:variant>
        <vt:i4>5</vt:i4>
      </vt:variant>
      <vt:variant>
        <vt:lpwstr>http://noticias.juridicas.com/base_datos/Fiscal/l20-1990.t4.html</vt:lpwstr>
      </vt:variant>
      <vt:variant>
        <vt:lpwstr>a33</vt:lpwstr>
      </vt:variant>
      <vt:variant>
        <vt:i4>3932245</vt:i4>
      </vt:variant>
      <vt:variant>
        <vt:i4>468</vt:i4>
      </vt:variant>
      <vt:variant>
        <vt:i4>0</vt:i4>
      </vt:variant>
      <vt:variant>
        <vt:i4>5</vt:i4>
      </vt:variant>
      <vt:variant>
        <vt:lpwstr>http://noticias.juridicas.com/base_datos/Fiscal/l20-1990.t5.html</vt:lpwstr>
      </vt:variant>
      <vt:variant>
        <vt:lpwstr>a39</vt:lpwstr>
      </vt:variant>
      <vt:variant>
        <vt:i4>4784239</vt:i4>
      </vt:variant>
      <vt:variant>
        <vt:i4>465</vt:i4>
      </vt:variant>
      <vt:variant>
        <vt:i4>0</vt:i4>
      </vt:variant>
      <vt:variant>
        <vt:i4>5</vt:i4>
      </vt:variant>
      <vt:variant>
        <vt:lpwstr>http://noticias.juridicas.com/base_datos/Fiscal/rdleg1-1993.t5.html</vt:lpwstr>
      </vt:variant>
      <vt:variant>
        <vt:lpwstr>a45</vt:lpwstr>
      </vt:variant>
      <vt:variant>
        <vt:i4>7667717</vt:i4>
      </vt:variant>
      <vt:variant>
        <vt:i4>462</vt:i4>
      </vt:variant>
      <vt:variant>
        <vt:i4>0</vt:i4>
      </vt:variant>
      <vt:variant>
        <vt:i4>5</vt:i4>
      </vt:variant>
      <vt:variant>
        <vt:lpwstr>http://noticias.juridicas.com/base_datos/Fiscal/515558-l-16-2013-de-29-oct-medidas-en-materia-de-fiscalidad-medioambiental-y-se.html</vt:lpwstr>
      </vt:variant>
      <vt:variant>
        <vt:lpwstr>df2</vt:lpwstr>
      </vt:variant>
      <vt:variant>
        <vt:i4>4784239</vt:i4>
      </vt:variant>
      <vt:variant>
        <vt:i4>459</vt:i4>
      </vt:variant>
      <vt:variant>
        <vt:i4>0</vt:i4>
      </vt:variant>
      <vt:variant>
        <vt:i4>5</vt:i4>
      </vt:variant>
      <vt:variant>
        <vt:lpwstr>http://noticias.juridicas.com/base_datos/Fiscal/rdleg1-1993.t5.html</vt:lpwstr>
      </vt:variant>
      <vt:variant>
        <vt:lpwstr>a45</vt:lpwstr>
      </vt:variant>
      <vt:variant>
        <vt:i4>3211344</vt:i4>
      </vt:variant>
      <vt:variant>
        <vt:i4>456</vt:i4>
      </vt:variant>
      <vt:variant>
        <vt:i4>0</vt:i4>
      </vt:variant>
      <vt:variant>
        <vt:i4>5</vt:i4>
      </vt:variant>
      <vt:variant>
        <vt:lpwstr>http://noticias.juridicas.com/base_datos/Fiscal/l58-2003.t2.html</vt:lpwstr>
      </vt:variant>
      <vt:variant>
        <vt:lpwstr>a36</vt:lpwstr>
      </vt:variant>
      <vt:variant>
        <vt:i4>8126478</vt:i4>
      </vt:variant>
      <vt:variant>
        <vt:i4>453</vt:i4>
      </vt:variant>
      <vt:variant>
        <vt:i4>0</vt:i4>
      </vt:variant>
      <vt:variant>
        <vt:i4>5</vt:i4>
      </vt:variant>
      <vt:variant>
        <vt:lpwstr>http://noticias.juridicas.com/base_datos/Fiscal/rdleg1-1993.t4.html</vt:lpwstr>
      </vt:variant>
      <vt:variant>
        <vt:lpwstr>n2n2</vt:lpwstr>
      </vt:variant>
      <vt:variant>
        <vt:i4>393281</vt:i4>
      </vt:variant>
      <vt:variant>
        <vt:i4>450</vt:i4>
      </vt:variant>
      <vt:variant>
        <vt:i4>0</vt:i4>
      </vt:variant>
      <vt:variant>
        <vt:i4>5</vt:i4>
      </vt:variant>
      <vt:variant>
        <vt:lpwstr>https://www.boe.es/boe/dias/2018/11/09/pdfs/BOE-A-2018-15344.pdf</vt:lpwstr>
      </vt:variant>
      <vt:variant>
        <vt:lpwstr/>
      </vt:variant>
      <vt:variant>
        <vt:i4>2162753</vt:i4>
      </vt:variant>
      <vt:variant>
        <vt:i4>447</vt:i4>
      </vt:variant>
      <vt:variant>
        <vt:i4>0</vt:i4>
      </vt:variant>
      <vt:variant>
        <vt:i4>5</vt:i4>
      </vt:variant>
      <vt:variant>
        <vt:lpwstr>https://www.boe.es/diario_boe/txt.php?id=BOE-A-2021-11473</vt:lpwstr>
      </vt:variant>
      <vt:variant>
        <vt:lpwstr/>
      </vt:variant>
      <vt:variant>
        <vt:i4>7667753</vt:i4>
      </vt:variant>
      <vt:variant>
        <vt:i4>444</vt:i4>
      </vt:variant>
      <vt:variant>
        <vt:i4>0</vt:i4>
      </vt:variant>
      <vt:variant>
        <vt:i4>5</vt:i4>
      </vt:variant>
      <vt:variant>
        <vt:lpwstr>https://www.tributasenasturias.es/imgvcm/stpa/PDF/Ficheros/Normativa/Decreto1212013.pdf</vt:lpwstr>
      </vt:variant>
      <vt:variant>
        <vt:lpwstr/>
      </vt:variant>
      <vt:variant>
        <vt:i4>1507400</vt:i4>
      </vt:variant>
      <vt:variant>
        <vt:i4>441</vt:i4>
      </vt:variant>
      <vt:variant>
        <vt:i4>0</vt:i4>
      </vt:variant>
      <vt:variant>
        <vt:i4>5</vt:i4>
      </vt:variant>
      <vt:variant>
        <vt:lpwstr>http://www.poderjudicial.es/search/AN/openDocument/d5a3a2133e9d3be6/20210208</vt:lpwstr>
      </vt:variant>
      <vt:variant>
        <vt:lpwstr/>
      </vt:variant>
      <vt:variant>
        <vt:i4>3211346</vt:i4>
      </vt:variant>
      <vt:variant>
        <vt:i4>438</vt:i4>
      </vt:variant>
      <vt:variant>
        <vt:i4>0</vt:i4>
      </vt:variant>
      <vt:variant>
        <vt:i4>5</vt:i4>
      </vt:variant>
      <vt:variant>
        <vt:lpwstr>https://petete.minhafp.gob.es/consultas/?num_consulta=V1219-19</vt:lpwstr>
      </vt:variant>
      <vt:variant>
        <vt:lpwstr/>
      </vt:variant>
      <vt:variant>
        <vt:i4>2097208</vt:i4>
      </vt:variant>
      <vt:variant>
        <vt:i4>435</vt:i4>
      </vt:variant>
      <vt:variant>
        <vt:i4>0</vt:i4>
      </vt:variant>
      <vt:variant>
        <vt:i4>5</vt:i4>
      </vt:variant>
      <vt:variant>
        <vt:lpwstr>http://www.poderjudicial.es/search/contenidos.action?action=contentpdf&amp;databasematch=TS&amp;reference=8750827&amp;statsQueryId=111355011&amp;calledfrom=searchresults&amp;links=&amp;optimize=20190506&amp;publicinterface=true</vt:lpwstr>
      </vt:variant>
      <vt:variant>
        <vt:lpwstr/>
      </vt:variant>
      <vt:variant>
        <vt:i4>1769538</vt:i4>
      </vt:variant>
      <vt:variant>
        <vt:i4>432</vt:i4>
      </vt:variant>
      <vt:variant>
        <vt:i4>0</vt:i4>
      </vt:variant>
      <vt:variant>
        <vt:i4>5</vt:i4>
      </vt:variant>
      <vt:variant>
        <vt:lpwstr>http://www.poderjudicial.es/search/openDocument/0a1cee4148bceea3</vt:lpwstr>
      </vt:variant>
      <vt:variant>
        <vt:lpwstr/>
      </vt:variant>
      <vt:variant>
        <vt:i4>4587563</vt:i4>
      </vt:variant>
      <vt:variant>
        <vt:i4>429</vt:i4>
      </vt:variant>
      <vt:variant>
        <vt:i4>0</vt:i4>
      </vt:variant>
      <vt:variant>
        <vt:i4>5</vt:i4>
      </vt:variant>
      <vt:variant>
        <vt:lpwstr>https://noticias.juridicas.com/base_datos/Fiscal/rd1629-1991.t2.html</vt:lpwstr>
      </vt:variant>
      <vt:variant>
        <vt:lpwstr>a67</vt:lpwstr>
      </vt:variant>
      <vt:variant>
        <vt:i4>4587563</vt:i4>
      </vt:variant>
      <vt:variant>
        <vt:i4>426</vt:i4>
      </vt:variant>
      <vt:variant>
        <vt:i4>0</vt:i4>
      </vt:variant>
      <vt:variant>
        <vt:i4>5</vt:i4>
      </vt:variant>
      <vt:variant>
        <vt:lpwstr>https://noticias.juridicas.com/base_datos/Fiscal/rd1629-1991.t2.html</vt:lpwstr>
      </vt:variant>
      <vt:variant>
        <vt:lpwstr>a67</vt:lpwstr>
      </vt:variant>
      <vt:variant>
        <vt:i4>131128</vt:i4>
      </vt:variant>
      <vt:variant>
        <vt:i4>423</vt:i4>
      </vt:variant>
      <vt:variant>
        <vt:i4>0</vt:i4>
      </vt:variant>
      <vt:variant>
        <vt:i4>5</vt:i4>
      </vt:variant>
      <vt:variant>
        <vt:lpwstr>https://noticias.juridicas.com/base_datos/Fiscal/rd828-1995.t6.html</vt:lpwstr>
      </vt:variant>
      <vt:variant>
        <vt:lpwstr>a102</vt:lpwstr>
      </vt:variant>
      <vt:variant>
        <vt:i4>8323118</vt:i4>
      </vt:variant>
      <vt:variant>
        <vt:i4>420</vt:i4>
      </vt:variant>
      <vt:variant>
        <vt:i4>0</vt:i4>
      </vt:variant>
      <vt:variant>
        <vt:i4>5</vt:i4>
      </vt:variant>
      <vt:variant>
        <vt:lpwstr/>
      </vt:variant>
      <vt:variant>
        <vt:lpwstr>tratamiento722</vt:lpwstr>
      </vt:variant>
      <vt:variant>
        <vt:i4>393287</vt:i4>
      </vt:variant>
      <vt:variant>
        <vt:i4>417</vt:i4>
      </vt:variant>
      <vt:variant>
        <vt:i4>0</vt:i4>
      </vt:variant>
      <vt:variant>
        <vt:i4>5</vt:i4>
      </vt:variant>
      <vt:variant>
        <vt:lpwstr/>
      </vt:variant>
      <vt:variant>
        <vt:lpwstr>normativa721</vt:lpwstr>
      </vt:variant>
      <vt:variant>
        <vt:i4>10092557</vt:i4>
      </vt:variant>
      <vt:variant>
        <vt:i4>414</vt:i4>
      </vt:variant>
      <vt:variant>
        <vt:i4>0</vt:i4>
      </vt:variant>
      <vt:variant>
        <vt:i4>5</vt:i4>
      </vt:variant>
      <vt:variant>
        <vt:lpwstr/>
      </vt:variant>
      <vt:variant>
        <vt:lpwstr>Gijón</vt:lpwstr>
      </vt:variant>
      <vt:variant>
        <vt:i4>8323117</vt:i4>
      </vt:variant>
      <vt:variant>
        <vt:i4>411</vt:i4>
      </vt:variant>
      <vt:variant>
        <vt:i4>0</vt:i4>
      </vt:variant>
      <vt:variant>
        <vt:i4>5</vt:i4>
      </vt:variant>
      <vt:variant>
        <vt:lpwstr/>
      </vt:variant>
      <vt:variant>
        <vt:lpwstr>tratamiento712</vt:lpwstr>
      </vt:variant>
      <vt:variant>
        <vt:i4>393284</vt:i4>
      </vt:variant>
      <vt:variant>
        <vt:i4>408</vt:i4>
      </vt:variant>
      <vt:variant>
        <vt:i4>0</vt:i4>
      </vt:variant>
      <vt:variant>
        <vt:i4>5</vt:i4>
      </vt:variant>
      <vt:variant>
        <vt:lpwstr/>
      </vt:variant>
      <vt:variant>
        <vt:lpwstr>normativa711</vt:lpwstr>
      </vt:variant>
      <vt:variant>
        <vt:i4>8126562</vt:i4>
      </vt:variant>
      <vt:variant>
        <vt:i4>405</vt:i4>
      </vt:variant>
      <vt:variant>
        <vt:i4>0</vt:i4>
      </vt:variant>
      <vt:variant>
        <vt:i4>5</vt:i4>
      </vt:variant>
      <vt:variant>
        <vt:lpwstr/>
      </vt:variant>
      <vt:variant>
        <vt:lpwstr>Oviedo</vt:lpwstr>
      </vt:variant>
      <vt:variant>
        <vt:i4>1507470</vt:i4>
      </vt:variant>
      <vt:variant>
        <vt:i4>402</vt:i4>
      </vt:variant>
      <vt:variant>
        <vt:i4>0</vt:i4>
      </vt:variant>
      <vt:variant>
        <vt:i4>5</vt:i4>
      </vt:variant>
      <vt:variant>
        <vt:lpwstr/>
      </vt:variant>
      <vt:variant>
        <vt:lpwstr>sinplusvalía</vt:lpwstr>
      </vt:variant>
      <vt:variant>
        <vt:i4>7274597</vt:i4>
      </vt:variant>
      <vt:variant>
        <vt:i4>399</vt:i4>
      </vt:variant>
      <vt:variant>
        <vt:i4>0</vt:i4>
      </vt:variant>
      <vt:variant>
        <vt:i4>5</vt:i4>
      </vt:variant>
      <vt:variant>
        <vt:lpwstr/>
      </vt:variant>
      <vt:variant>
        <vt:lpwstr>nodelegada</vt:lpwstr>
      </vt:variant>
      <vt:variant>
        <vt:i4>11</vt:i4>
      </vt:variant>
      <vt:variant>
        <vt:i4>396</vt:i4>
      </vt:variant>
      <vt:variant>
        <vt:i4>0</vt:i4>
      </vt:variant>
      <vt:variant>
        <vt:i4>5</vt:i4>
      </vt:variant>
      <vt:variant>
        <vt:lpwstr/>
      </vt:variant>
      <vt:variant>
        <vt:lpwstr>delegada</vt:lpwstr>
      </vt:variant>
      <vt:variant>
        <vt:i4>1507359</vt:i4>
      </vt:variant>
      <vt:variant>
        <vt:i4>393</vt:i4>
      </vt:variant>
      <vt:variant>
        <vt:i4>0</vt:i4>
      </vt:variant>
      <vt:variant>
        <vt:i4>5</vt:i4>
      </vt:variant>
      <vt:variant>
        <vt:lpwstr/>
      </vt:variant>
      <vt:variant>
        <vt:lpwstr>plusvalia</vt:lpwstr>
      </vt:variant>
      <vt:variant>
        <vt:i4>102</vt:i4>
      </vt:variant>
      <vt:variant>
        <vt:i4>390</vt:i4>
      </vt:variant>
      <vt:variant>
        <vt:i4>0</vt:i4>
      </vt:variant>
      <vt:variant>
        <vt:i4>5</vt:i4>
      </vt:variant>
      <vt:variant>
        <vt:lpwstr/>
      </vt:variant>
      <vt:variant>
        <vt:lpwstr>F</vt:lpwstr>
      </vt:variant>
      <vt:variant>
        <vt:i4>3473524</vt:i4>
      </vt:variant>
      <vt:variant>
        <vt:i4>387</vt:i4>
      </vt:variant>
      <vt:variant>
        <vt:i4>0</vt:i4>
      </vt:variant>
      <vt:variant>
        <vt:i4>5</vt:i4>
      </vt:variant>
      <vt:variant>
        <vt:lpwstr/>
      </vt:variant>
      <vt:variant>
        <vt:lpwstr>t53</vt:lpwstr>
      </vt:variant>
      <vt:variant>
        <vt:i4>3473518</vt:i4>
      </vt:variant>
      <vt:variant>
        <vt:i4>384</vt:i4>
      </vt:variant>
      <vt:variant>
        <vt:i4>0</vt:i4>
      </vt:variant>
      <vt:variant>
        <vt:i4>5</vt:i4>
      </vt:variant>
      <vt:variant>
        <vt:lpwstr/>
      </vt:variant>
      <vt:variant>
        <vt:lpwstr>n52</vt:lpwstr>
      </vt:variant>
      <vt:variant>
        <vt:i4>101</vt:i4>
      </vt:variant>
      <vt:variant>
        <vt:i4>381</vt:i4>
      </vt:variant>
      <vt:variant>
        <vt:i4>0</vt:i4>
      </vt:variant>
      <vt:variant>
        <vt:i4>5</vt:i4>
      </vt:variant>
      <vt:variant>
        <vt:lpwstr/>
      </vt:variant>
      <vt:variant>
        <vt:lpwstr>E</vt:lpwstr>
      </vt:variant>
      <vt:variant>
        <vt:i4>262213</vt:i4>
      </vt:variant>
      <vt:variant>
        <vt:i4>378</vt:i4>
      </vt:variant>
      <vt:variant>
        <vt:i4>0</vt:i4>
      </vt:variant>
      <vt:variant>
        <vt:i4>5</vt:i4>
      </vt:variant>
      <vt:variant>
        <vt:lpwstr/>
      </vt:variant>
      <vt:variant>
        <vt:lpwstr>t4102</vt:lpwstr>
      </vt:variant>
      <vt:variant>
        <vt:i4>262237</vt:i4>
      </vt:variant>
      <vt:variant>
        <vt:i4>375</vt:i4>
      </vt:variant>
      <vt:variant>
        <vt:i4>0</vt:i4>
      </vt:variant>
      <vt:variant>
        <vt:i4>5</vt:i4>
      </vt:variant>
      <vt:variant>
        <vt:lpwstr/>
      </vt:variant>
      <vt:variant>
        <vt:lpwstr>l4101</vt:lpwstr>
      </vt:variant>
      <vt:variant>
        <vt:i4>3211364</vt:i4>
      </vt:variant>
      <vt:variant>
        <vt:i4>372</vt:i4>
      </vt:variant>
      <vt:variant>
        <vt:i4>0</vt:i4>
      </vt:variant>
      <vt:variant>
        <vt:i4>5</vt:i4>
      </vt:variant>
      <vt:variant>
        <vt:lpwstr/>
      </vt:variant>
      <vt:variant>
        <vt:lpwstr>D10</vt:lpwstr>
      </vt:variant>
      <vt:variant>
        <vt:i4>393293</vt:i4>
      </vt:variant>
      <vt:variant>
        <vt:i4>369</vt:i4>
      </vt:variant>
      <vt:variant>
        <vt:i4>0</vt:i4>
      </vt:variant>
      <vt:variant>
        <vt:i4>5</vt:i4>
      </vt:variant>
      <vt:variant>
        <vt:lpwstr/>
      </vt:variant>
      <vt:variant>
        <vt:lpwstr>t492</vt:lpwstr>
      </vt:variant>
      <vt:variant>
        <vt:i4>327765</vt:i4>
      </vt:variant>
      <vt:variant>
        <vt:i4>366</vt:i4>
      </vt:variant>
      <vt:variant>
        <vt:i4>0</vt:i4>
      </vt:variant>
      <vt:variant>
        <vt:i4>5</vt:i4>
      </vt:variant>
      <vt:variant>
        <vt:lpwstr/>
      </vt:variant>
      <vt:variant>
        <vt:lpwstr>l491</vt:lpwstr>
      </vt:variant>
      <vt:variant>
        <vt:i4>3735652</vt:i4>
      </vt:variant>
      <vt:variant>
        <vt:i4>363</vt:i4>
      </vt:variant>
      <vt:variant>
        <vt:i4>0</vt:i4>
      </vt:variant>
      <vt:variant>
        <vt:i4>5</vt:i4>
      </vt:variant>
      <vt:variant>
        <vt:lpwstr/>
      </vt:variant>
      <vt:variant>
        <vt:lpwstr>D9</vt:lpwstr>
      </vt:variant>
      <vt:variant>
        <vt:i4>7602220</vt:i4>
      </vt:variant>
      <vt:variant>
        <vt:i4>360</vt:i4>
      </vt:variant>
      <vt:variant>
        <vt:i4>0</vt:i4>
      </vt:variant>
      <vt:variant>
        <vt:i4>5</vt:i4>
      </vt:variant>
      <vt:variant>
        <vt:lpwstr/>
      </vt:variant>
      <vt:variant>
        <vt:lpwstr>tra492</vt:lpwstr>
      </vt:variant>
      <vt:variant>
        <vt:i4>6946853</vt:i4>
      </vt:variant>
      <vt:variant>
        <vt:i4>357</vt:i4>
      </vt:variant>
      <vt:variant>
        <vt:i4>0</vt:i4>
      </vt:variant>
      <vt:variant>
        <vt:i4>5</vt:i4>
      </vt:variant>
      <vt:variant>
        <vt:lpwstr/>
      </vt:variant>
      <vt:variant>
        <vt:lpwstr>nor491</vt:lpwstr>
      </vt:variant>
      <vt:variant>
        <vt:i4>4587549</vt:i4>
      </vt:variant>
      <vt:variant>
        <vt:i4>354</vt:i4>
      </vt:variant>
      <vt:variant>
        <vt:i4>0</vt:i4>
      </vt:variant>
      <vt:variant>
        <vt:i4>5</vt:i4>
      </vt:variant>
      <vt:variant>
        <vt:lpwstr/>
      </vt:variant>
      <vt:variant>
        <vt:lpwstr>TRI49</vt:lpwstr>
      </vt:variant>
      <vt:variant>
        <vt:i4>7667757</vt:i4>
      </vt:variant>
      <vt:variant>
        <vt:i4>351</vt:i4>
      </vt:variant>
      <vt:variant>
        <vt:i4>0</vt:i4>
      </vt:variant>
      <vt:variant>
        <vt:i4>5</vt:i4>
      </vt:variant>
      <vt:variant>
        <vt:lpwstr/>
      </vt:variant>
      <vt:variant>
        <vt:lpwstr>tra483</vt:lpwstr>
      </vt:variant>
      <vt:variant>
        <vt:i4>262213</vt:i4>
      </vt:variant>
      <vt:variant>
        <vt:i4>348</vt:i4>
      </vt:variant>
      <vt:variant>
        <vt:i4>0</vt:i4>
      </vt:variant>
      <vt:variant>
        <vt:i4>5</vt:i4>
      </vt:variant>
      <vt:variant>
        <vt:lpwstr/>
      </vt:variant>
      <vt:variant>
        <vt:lpwstr>Grupo482</vt:lpwstr>
      </vt:variant>
      <vt:variant>
        <vt:i4>458821</vt:i4>
      </vt:variant>
      <vt:variant>
        <vt:i4>345</vt:i4>
      </vt:variant>
      <vt:variant>
        <vt:i4>0</vt:i4>
      </vt:variant>
      <vt:variant>
        <vt:i4>5</vt:i4>
      </vt:variant>
      <vt:variant>
        <vt:lpwstr/>
      </vt:variant>
      <vt:variant>
        <vt:lpwstr>Grupo481</vt:lpwstr>
      </vt:variant>
      <vt:variant>
        <vt:i4>3670116</vt:i4>
      </vt:variant>
      <vt:variant>
        <vt:i4>342</vt:i4>
      </vt:variant>
      <vt:variant>
        <vt:i4>0</vt:i4>
      </vt:variant>
      <vt:variant>
        <vt:i4>5</vt:i4>
      </vt:variant>
      <vt:variant>
        <vt:lpwstr/>
      </vt:variant>
      <vt:variant>
        <vt:lpwstr>D8</vt:lpwstr>
      </vt:variant>
      <vt:variant>
        <vt:i4>7602211</vt:i4>
      </vt:variant>
      <vt:variant>
        <vt:i4>339</vt:i4>
      </vt:variant>
      <vt:variant>
        <vt:i4>0</vt:i4>
      </vt:variant>
      <vt:variant>
        <vt:i4>5</vt:i4>
      </vt:variant>
      <vt:variant>
        <vt:lpwstr/>
      </vt:variant>
      <vt:variant>
        <vt:lpwstr>tra462</vt:lpwstr>
      </vt:variant>
      <vt:variant>
        <vt:i4>6291517</vt:i4>
      </vt:variant>
      <vt:variant>
        <vt:i4>336</vt:i4>
      </vt:variant>
      <vt:variant>
        <vt:i4>0</vt:i4>
      </vt:variant>
      <vt:variant>
        <vt:i4>5</vt:i4>
      </vt:variant>
      <vt:variant>
        <vt:lpwstr/>
      </vt:variant>
      <vt:variant>
        <vt:lpwstr>leg461</vt:lpwstr>
      </vt:variant>
      <vt:variant>
        <vt:i4>5308438</vt:i4>
      </vt:variant>
      <vt:variant>
        <vt:i4>333</vt:i4>
      </vt:variant>
      <vt:variant>
        <vt:i4>0</vt:i4>
      </vt:variant>
      <vt:variant>
        <vt:i4>5</vt:i4>
      </vt:variant>
      <vt:variant>
        <vt:lpwstr/>
      </vt:variant>
      <vt:variant>
        <vt:lpwstr>red46</vt:lpwstr>
      </vt:variant>
      <vt:variant>
        <vt:i4>7602208</vt:i4>
      </vt:variant>
      <vt:variant>
        <vt:i4>330</vt:i4>
      </vt:variant>
      <vt:variant>
        <vt:i4>0</vt:i4>
      </vt:variant>
      <vt:variant>
        <vt:i4>5</vt:i4>
      </vt:variant>
      <vt:variant>
        <vt:lpwstr/>
      </vt:variant>
      <vt:variant>
        <vt:lpwstr>tra452</vt:lpwstr>
      </vt:variant>
      <vt:variant>
        <vt:i4>6291518</vt:i4>
      </vt:variant>
      <vt:variant>
        <vt:i4>327</vt:i4>
      </vt:variant>
      <vt:variant>
        <vt:i4>0</vt:i4>
      </vt:variant>
      <vt:variant>
        <vt:i4>5</vt:i4>
      </vt:variant>
      <vt:variant>
        <vt:lpwstr/>
      </vt:variant>
      <vt:variant>
        <vt:lpwstr>leg451</vt:lpwstr>
      </vt:variant>
      <vt:variant>
        <vt:i4>5963791</vt:i4>
      </vt:variant>
      <vt:variant>
        <vt:i4>324</vt:i4>
      </vt:variant>
      <vt:variant>
        <vt:i4>0</vt:i4>
      </vt:variant>
      <vt:variant>
        <vt:i4>5</vt:i4>
      </vt:variant>
      <vt:variant>
        <vt:lpwstr/>
      </vt:variant>
      <vt:variant>
        <vt:lpwstr>col45</vt:lpwstr>
      </vt:variant>
      <vt:variant>
        <vt:i4>393281</vt:i4>
      </vt:variant>
      <vt:variant>
        <vt:i4>321</vt:i4>
      </vt:variant>
      <vt:variant>
        <vt:i4>0</vt:i4>
      </vt:variant>
      <vt:variant>
        <vt:i4>5</vt:i4>
      </vt:variant>
      <vt:variant>
        <vt:lpwstr/>
      </vt:variant>
      <vt:variant>
        <vt:lpwstr>t452</vt:lpwstr>
      </vt:variant>
      <vt:variant>
        <vt:i4>327769</vt:i4>
      </vt:variant>
      <vt:variant>
        <vt:i4>318</vt:i4>
      </vt:variant>
      <vt:variant>
        <vt:i4>0</vt:i4>
      </vt:variant>
      <vt:variant>
        <vt:i4>5</vt:i4>
      </vt:variant>
      <vt:variant>
        <vt:lpwstr/>
      </vt:variant>
      <vt:variant>
        <vt:lpwstr>l451</vt:lpwstr>
      </vt:variant>
      <vt:variant>
        <vt:i4>3473508</vt:i4>
      </vt:variant>
      <vt:variant>
        <vt:i4>315</vt:i4>
      </vt:variant>
      <vt:variant>
        <vt:i4>0</vt:i4>
      </vt:variant>
      <vt:variant>
        <vt:i4>5</vt:i4>
      </vt:variant>
      <vt:variant>
        <vt:lpwstr/>
      </vt:variant>
      <vt:variant>
        <vt:lpwstr>D5</vt:lpwstr>
      </vt:variant>
      <vt:variant>
        <vt:i4>393280</vt:i4>
      </vt:variant>
      <vt:variant>
        <vt:i4>312</vt:i4>
      </vt:variant>
      <vt:variant>
        <vt:i4>0</vt:i4>
      </vt:variant>
      <vt:variant>
        <vt:i4>5</vt:i4>
      </vt:variant>
      <vt:variant>
        <vt:lpwstr/>
      </vt:variant>
      <vt:variant>
        <vt:lpwstr>t442</vt:lpwstr>
      </vt:variant>
      <vt:variant>
        <vt:i4>327768</vt:i4>
      </vt:variant>
      <vt:variant>
        <vt:i4>309</vt:i4>
      </vt:variant>
      <vt:variant>
        <vt:i4>0</vt:i4>
      </vt:variant>
      <vt:variant>
        <vt:i4>5</vt:i4>
      </vt:variant>
      <vt:variant>
        <vt:lpwstr/>
      </vt:variant>
      <vt:variant>
        <vt:lpwstr>l441</vt:lpwstr>
      </vt:variant>
      <vt:variant>
        <vt:i4>3407972</vt:i4>
      </vt:variant>
      <vt:variant>
        <vt:i4>306</vt:i4>
      </vt:variant>
      <vt:variant>
        <vt:i4>0</vt:i4>
      </vt:variant>
      <vt:variant>
        <vt:i4>5</vt:i4>
      </vt:variant>
      <vt:variant>
        <vt:lpwstr/>
      </vt:variant>
      <vt:variant>
        <vt:lpwstr>D4</vt:lpwstr>
      </vt:variant>
      <vt:variant>
        <vt:i4>393287</vt:i4>
      </vt:variant>
      <vt:variant>
        <vt:i4>303</vt:i4>
      </vt:variant>
      <vt:variant>
        <vt:i4>0</vt:i4>
      </vt:variant>
      <vt:variant>
        <vt:i4>5</vt:i4>
      </vt:variant>
      <vt:variant>
        <vt:lpwstr/>
      </vt:variant>
      <vt:variant>
        <vt:lpwstr>t432</vt:lpwstr>
      </vt:variant>
      <vt:variant>
        <vt:i4>327775</vt:i4>
      </vt:variant>
      <vt:variant>
        <vt:i4>300</vt:i4>
      </vt:variant>
      <vt:variant>
        <vt:i4>0</vt:i4>
      </vt:variant>
      <vt:variant>
        <vt:i4>5</vt:i4>
      </vt:variant>
      <vt:variant>
        <vt:lpwstr/>
      </vt:variant>
      <vt:variant>
        <vt:lpwstr>l431</vt:lpwstr>
      </vt:variant>
      <vt:variant>
        <vt:i4>3342436</vt:i4>
      </vt:variant>
      <vt:variant>
        <vt:i4>297</vt:i4>
      </vt:variant>
      <vt:variant>
        <vt:i4>0</vt:i4>
      </vt:variant>
      <vt:variant>
        <vt:i4>5</vt:i4>
      </vt:variant>
      <vt:variant>
        <vt:lpwstr/>
      </vt:variant>
      <vt:variant>
        <vt:lpwstr>D3</vt:lpwstr>
      </vt:variant>
      <vt:variant>
        <vt:i4>7667748</vt:i4>
      </vt:variant>
      <vt:variant>
        <vt:i4>294</vt:i4>
      </vt:variant>
      <vt:variant>
        <vt:i4>0</vt:i4>
      </vt:variant>
      <vt:variant>
        <vt:i4>5</vt:i4>
      </vt:variant>
      <vt:variant>
        <vt:lpwstr/>
      </vt:variant>
      <vt:variant>
        <vt:lpwstr>tra413</vt:lpwstr>
      </vt:variant>
      <vt:variant>
        <vt:i4>6488103</vt:i4>
      </vt:variant>
      <vt:variant>
        <vt:i4>291</vt:i4>
      </vt:variant>
      <vt:variant>
        <vt:i4>0</vt:i4>
      </vt:variant>
      <vt:variant>
        <vt:i4>5</vt:i4>
      </vt:variant>
      <vt:variant>
        <vt:lpwstr/>
      </vt:variant>
      <vt:variant>
        <vt:lpwstr>red412</vt:lpwstr>
      </vt:variant>
      <vt:variant>
        <vt:i4>6291495</vt:i4>
      </vt:variant>
      <vt:variant>
        <vt:i4>288</vt:i4>
      </vt:variant>
      <vt:variant>
        <vt:i4>0</vt:i4>
      </vt:variant>
      <vt:variant>
        <vt:i4>5</vt:i4>
      </vt:variant>
      <vt:variant>
        <vt:lpwstr/>
      </vt:variant>
      <vt:variant>
        <vt:lpwstr>red411</vt:lpwstr>
      </vt:variant>
      <vt:variant>
        <vt:i4>7077994</vt:i4>
      </vt:variant>
      <vt:variant>
        <vt:i4>285</vt:i4>
      </vt:variant>
      <vt:variant>
        <vt:i4>0</vt:i4>
      </vt:variant>
      <vt:variant>
        <vt:i4>5</vt:i4>
      </vt:variant>
      <vt:variant>
        <vt:lpwstr/>
      </vt:variant>
      <vt:variant>
        <vt:lpwstr>parentesco</vt:lpwstr>
      </vt:variant>
      <vt:variant>
        <vt:i4>7077987</vt:i4>
      </vt:variant>
      <vt:variant>
        <vt:i4>282</vt:i4>
      </vt:variant>
      <vt:variant>
        <vt:i4>0</vt:i4>
      </vt:variant>
      <vt:variant>
        <vt:i4>5</vt:i4>
      </vt:variant>
      <vt:variant>
        <vt:lpwstr/>
      </vt:variant>
      <vt:variant>
        <vt:lpwstr>cla</vt:lpwstr>
      </vt:variant>
      <vt:variant>
        <vt:i4>7667820</vt:i4>
      </vt:variant>
      <vt:variant>
        <vt:i4>279</vt:i4>
      </vt:variant>
      <vt:variant>
        <vt:i4>0</vt:i4>
      </vt:variant>
      <vt:variant>
        <vt:i4>5</vt:i4>
      </vt:variant>
      <vt:variant>
        <vt:lpwstr/>
      </vt:variant>
      <vt:variant>
        <vt:lpwstr>resumen</vt:lpwstr>
      </vt:variant>
      <vt:variant>
        <vt:i4>100</vt:i4>
      </vt:variant>
      <vt:variant>
        <vt:i4>276</vt:i4>
      </vt:variant>
      <vt:variant>
        <vt:i4>0</vt:i4>
      </vt:variant>
      <vt:variant>
        <vt:i4>5</vt:i4>
      </vt:variant>
      <vt:variant>
        <vt:lpwstr/>
      </vt:variant>
      <vt:variant>
        <vt:lpwstr>D</vt:lpwstr>
      </vt:variant>
      <vt:variant>
        <vt:i4>2621550</vt:i4>
      </vt:variant>
      <vt:variant>
        <vt:i4>273</vt:i4>
      </vt:variant>
      <vt:variant>
        <vt:i4>0</vt:i4>
      </vt:variant>
      <vt:variant>
        <vt:i4>5</vt:i4>
      </vt:variant>
      <vt:variant>
        <vt:lpwstr/>
      </vt:variant>
      <vt:variant>
        <vt:lpwstr>Otros33</vt:lpwstr>
      </vt:variant>
      <vt:variant>
        <vt:i4>8060975</vt:i4>
      </vt:variant>
      <vt:variant>
        <vt:i4>270</vt:i4>
      </vt:variant>
      <vt:variant>
        <vt:i4>0</vt:i4>
      </vt:variant>
      <vt:variant>
        <vt:i4>5</vt:i4>
      </vt:variant>
      <vt:variant>
        <vt:lpwstr/>
      </vt:variant>
      <vt:variant>
        <vt:lpwstr>tratamiento332</vt:lpwstr>
      </vt:variant>
      <vt:variant>
        <vt:i4>6488295</vt:i4>
      </vt:variant>
      <vt:variant>
        <vt:i4>267</vt:i4>
      </vt:variant>
      <vt:variant>
        <vt:i4>0</vt:i4>
      </vt:variant>
      <vt:variant>
        <vt:i4>5</vt:i4>
      </vt:variant>
      <vt:variant>
        <vt:lpwstr/>
      </vt:variant>
      <vt:variant>
        <vt:lpwstr>Consideracionesespecíficas</vt:lpwstr>
      </vt:variant>
      <vt:variant>
        <vt:i4>69</vt:i4>
      </vt:variant>
      <vt:variant>
        <vt:i4>264</vt:i4>
      </vt:variant>
      <vt:variant>
        <vt:i4>0</vt:i4>
      </vt:variant>
      <vt:variant>
        <vt:i4>5</vt:i4>
      </vt:variant>
      <vt:variant>
        <vt:lpwstr/>
      </vt:variant>
      <vt:variant>
        <vt:lpwstr>Normativa2024</vt:lpwstr>
      </vt:variant>
      <vt:variant>
        <vt:i4>131142</vt:i4>
      </vt:variant>
      <vt:variant>
        <vt:i4>261</vt:i4>
      </vt:variant>
      <vt:variant>
        <vt:i4>0</vt:i4>
      </vt:variant>
      <vt:variant>
        <vt:i4>5</vt:i4>
      </vt:variant>
      <vt:variant>
        <vt:lpwstr/>
      </vt:variant>
      <vt:variant>
        <vt:lpwstr>normativa331</vt:lpwstr>
      </vt:variant>
      <vt:variant>
        <vt:i4>131165</vt:i4>
      </vt:variant>
      <vt:variant>
        <vt:i4>258</vt:i4>
      </vt:variant>
      <vt:variant>
        <vt:i4>0</vt:i4>
      </vt:variant>
      <vt:variant>
        <vt:i4>5</vt:i4>
      </vt:variant>
      <vt:variant>
        <vt:lpwstr/>
      </vt:variant>
      <vt:variant>
        <vt:lpwstr>Cuota2018</vt:lpwstr>
      </vt:variant>
      <vt:variant>
        <vt:i4>3539043</vt:i4>
      </vt:variant>
      <vt:variant>
        <vt:i4>255</vt:i4>
      </vt:variant>
      <vt:variant>
        <vt:i4>0</vt:i4>
      </vt:variant>
      <vt:variant>
        <vt:i4>5</vt:i4>
      </vt:variant>
      <vt:variant>
        <vt:lpwstr/>
      </vt:variant>
      <vt:variant>
        <vt:lpwstr>C6</vt:lpwstr>
      </vt:variant>
      <vt:variant>
        <vt:i4>65605</vt:i4>
      </vt:variant>
      <vt:variant>
        <vt:i4>252</vt:i4>
      </vt:variant>
      <vt:variant>
        <vt:i4>0</vt:i4>
      </vt:variant>
      <vt:variant>
        <vt:i4>5</vt:i4>
      </vt:variant>
      <vt:variant>
        <vt:lpwstr/>
      </vt:variant>
      <vt:variant>
        <vt:lpwstr>t312</vt:lpwstr>
      </vt:variant>
      <vt:variant>
        <vt:i4>131167</vt:i4>
      </vt:variant>
      <vt:variant>
        <vt:i4>249</vt:i4>
      </vt:variant>
      <vt:variant>
        <vt:i4>0</vt:i4>
      </vt:variant>
      <vt:variant>
        <vt:i4>5</vt:i4>
      </vt:variant>
      <vt:variant>
        <vt:lpwstr/>
      </vt:variant>
      <vt:variant>
        <vt:lpwstr>n311</vt:lpwstr>
      </vt:variant>
      <vt:variant>
        <vt:i4>3211363</vt:i4>
      </vt:variant>
      <vt:variant>
        <vt:i4>246</vt:i4>
      </vt:variant>
      <vt:variant>
        <vt:i4>0</vt:i4>
      </vt:variant>
      <vt:variant>
        <vt:i4>5</vt:i4>
      </vt:variant>
      <vt:variant>
        <vt:lpwstr/>
      </vt:variant>
      <vt:variant>
        <vt:lpwstr>C1</vt:lpwstr>
      </vt:variant>
      <vt:variant>
        <vt:i4>15859817</vt:i4>
      </vt:variant>
      <vt:variant>
        <vt:i4>243</vt:i4>
      </vt:variant>
      <vt:variant>
        <vt:i4>0</vt:i4>
      </vt:variant>
      <vt:variant>
        <vt:i4>5</vt:i4>
      </vt:variant>
      <vt:variant>
        <vt:lpwstr/>
      </vt:variant>
      <vt:variant>
        <vt:lpwstr>acumulación</vt:lpwstr>
      </vt:variant>
      <vt:variant>
        <vt:i4>8061049</vt:i4>
      </vt:variant>
      <vt:variant>
        <vt:i4>240</vt:i4>
      </vt:variant>
      <vt:variant>
        <vt:i4>0</vt:i4>
      </vt:variant>
      <vt:variant>
        <vt:i4>5</vt:i4>
      </vt:variant>
      <vt:variant>
        <vt:lpwstr/>
      </vt:variant>
      <vt:variant>
        <vt:lpwstr>recoinocimiento</vt:lpwstr>
      </vt:variant>
      <vt:variant>
        <vt:i4>1310737</vt:i4>
      </vt:variant>
      <vt:variant>
        <vt:i4>237</vt:i4>
      </vt:variant>
      <vt:variant>
        <vt:i4>0</vt:i4>
      </vt:variant>
      <vt:variant>
        <vt:i4>5</vt:i4>
      </vt:variant>
      <vt:variant>
        <vt:lpwstr/>
      </vt:variant>
      <vt:variant>
        <vt:lpwstr>usufructo</vt:lpwstr>
      </vt:variant>
      <vt:variant>
        <vt:i4>9633823</vt:i4>
      </vt:variant>
      <vt:variant>
        <vt:i4>234</vt:i4>
      </vt:variant>
      <vt:variant>
        <vt:i4>0</vt:i4>
      </vt:variant>
      <vt:variant>
        <vt:i4>5</vt:i4>
      </vt:variant>
      <vt:variant>
        <vt:lpwstr/>
      </vt:variant>
      <vt:variant>
        <vt:lpwstr>plusvalía</vt:lpwstr>
      </vt:variant>
      <vt:variant>
        <vt:i4>131086</vt:i4>
      </vt:variant>
      <vt:variant>
        <vt:i4>231</vt:i4>
      </vt:variant>
      <vt:variant>
        <vt:i4>0</vt:i4>
      </vt:variant>
      <vt:variant>
        <vt:i4>5</vt:i4>
      </vt:variant>
      <vt:variant>
        <vt:lpwstr/>
      </vt:variant>
      <vt:variant>
        <vt:lpwstr>ganancia</vt:lpwstr>
      </vt:variant>
      <vt:variant>
        <vt:i4>1835012</vt:i4>
      </vt:variant>
      <vt:variant>
        <vt:i4>228</vt:i4>
      </vt:variant>
      <vt:variant>
        <vt:i4>0</vt:i4>
      </vt:variant>
      <vt:variant>
        <vt:i4>5</vt:i4>
      </vt:variant>
      <vt:variant>
        <vt:lpwstr/>
      </vt:variant>
      <vt:variant>
        <vt:lpwstr>onerosas</vt:lpwstr>
      </vt:variant>
      <vt:variant>
        <vt:i4>6750306</vt:i4>
      </vt:variant>
      <vt:variant>
        <vt:i4>225</vt:i4>
      </vt:variant>
      <vt:variant>
        <vt:i4>0</vt:i4>
      </vt:variant>
      <vt:variant>
        <vt:i4>5</vt:i4>
      </vt:variant>
      <vt:variant>
        <vt:lpwstr/>
      </vt:variant>
      <vt:variant>
        <vt:lpwstr>gananciales</vt:lpwstr>
      </vt:variant>
      <vt:variant>
        <vt:i4>6750305</vt:i4>
      </vt:variant>
      <vt:variant>
        <vt:i4>222</vt:i4>
      </vt:variant>
      <vt:variant>
        <vt:i4>0</vt:i4>
      </vt:variant>
      <vt:variant>
        <vt:i4>5</vt:i4>
      </vt:variant>
      <vt:variant>
        <vt:lpwstr/>
      </vt:variant>
      <vt:variant>
        <vt:lpwstr>referencia</vt:lpwstr>
      </vt:variant>
      <vt:variant>
        <vt:i4>7667809</vt:i4>
      </vt:variant>
      <vt:variant>
        <vt:i4>219</vt:i4>
      </vt:variant>
      <vt:variant>
        <vt:i4>0</vt:i4>
      </vt:variant>
      <vt:variant>
        <vt:i4>5</vt:i4>
      </vt:variant>
      <vt:variant>
        <vt:lpwstr/>
      </vt:variant>
      <vt:variant>
        <vt:lpwstr>interregionales</vt:lpwstr>
      </vt:variant>
      <vt:variant>
        <vt:i4>1703959</vt:i4>
      </vt:variant>
      <vt:variant>
        <vt:i4>216</vt:i4>
      </vt:variant>
      <vt:variant>
        <vt:i4>0</vt:i4>
      </vt:variant>
      <vt:variant>
        <vt:i4>5</vt:i4>
      </vt:variant>
      <vt:variant>
        <vt:lpwstr/>
      </vt:variant>
      <vt:variant>
        <vt:lpwstr>transfronterizas</vt:lpwstr>
      </vt:variant>
      <vt:variant>
        <vt:i4>8323168</vt:i4>
      </vt:variant>
      <vt:variant>
        <vt:i4>213</vt:i4>
      </vt:variant>
      <vt:variant>
        <vt:i4>0</vt:i4>
      </vt:variant>
      <vt:variant>
        <vt:i4>5</vt:i4>
      </vt:variant>
      <vt:variant>
        <vt:lpwstr/>
      </vt:variant>
      <vt:variant>
        <vt:lpwstr>comunes</vt:lpwstr>
      </vt:variant>
      <vt:variant>
        <vt:i4>99</vt:i4>
      </vt:variant>
      <vt:variant>
        <vt:i4>210</vt:i4>
      </vt:variant>
      <vt:variant>
        <vt:i4>0</vt:i4>
      </vt:variant>
      <vt:variant>
        <vt:i4>5</vt:i4>
      </vt:variant>
      <vt:variant>
        <vt:lpwstr/>
      </vt:variant>
      <vt:variant>
        <vt:lpwstr>C</vt:lpwstr>
      </vt:variant>
      <vt:variant>
        <vt:i4>3211362</vt:i4>
      </vt:variant>
      <vt:variant>
        <vt:i4>207</vt:i4>
      </vt:variant>
      <vt:variant>
        <vt:i4>0</vt:i4>
      </vt:variant>
      <vt:variant>
        <vt:i4>5</vt:i4>
      </vt:variant>
      <vt:variant>
        <vt:lpwstr/>
      </vt:variant>
      <vt:variant>
        <vt:lpwstr>B12</vt:lpwstr>
      </vt:variant>
      <vt:variant>
        <vt:i4>4128822</vt:i4>
      </vt:variant>
      <vt:variant>
        <vt:i4>204</vt:i4>
      </vt:variant>
      <vt:variant>
        <vt:i4>0</vt:i4>
      </vt:variant>
      <vt:variant>
        <vt:i4>5</vt:i4>
      </vt:variant>
      <vt:variant>
        <vt:lpwstr/>
      </vt:variant>
      <vt:variant>
        <vt:lpwstr>tipo29</vt:lpwstr>
      </vt:variant>
      <vt:variant>
        <vt:i4>7471138</vt:i4>
      </vt:variant>
      <vt:variant>
        <vt:i4>201</vt:i4>
      </vt:variant>
      <vt:variant>
        <vt:i4>0</vt:i4>
      </vt:variant>
      <vt:variant>
        <vt:i4>5</vt:i4>
      </vt:variant>
      <vt:variant>
        <vt:lpwstr/>
      </vt:variant>
      <vt:variant>
        <vt:lpwstr>TRA272</vt:lpwstr>
      </vt:variant>
      <vt:variant>
        <vt:i4>196698</vt:i4>
      </vt:variant>
      <vt:variant>
        <vt:i4>198</vt:i4>
      </vt:variant>
      <vt:variant>
        <vt:i4>0</vt:i4>
      </vt:variant>
      <vt:variant>
        <vt:i4>5</vt:i4>
      </vt:variant>
      <vt:variant>
        <vt:lpwstr/>
      </vt:variant>
      <vt:variant>
        <vt:lpwstr>n241</vt:lpwstr>
      </vt:variant>
      <vt:variant>
        <vt:i4>3407970</vt:i4>
      </vt:variant>
      <vt:variant>
        <vt:i4>195</vt:i4>
      </vt:variant>
      <vt:variant>
        <vt:i4>0</vt:i4>
      </vt:variant>
      <vt:variant>
        <vt:i4>5</vt:i4>
      </vt:variant>
      <vt:variant>
        <vt:lpwstr/>
      </vt:variant>
      <vt:variant>
        <vt:lpwstr>B4</vt:lpwstr>
      </vt:variant>
      <vt:variant>
        <vt:i4>7471139</vt:i4>
      </vt:variant>
      <vt:variant>
        <vt:i4>192</vt:i4>
      </vt:variant>
      <vt:variant>
        <vt:i4>0</vt:i4>
      </vt:variant>
      <vt:variant>
        <vt:i4>5</vt:i4>
      </vt:variant>
      <vt:variant>
        <vt:lpwstr/>
      </vt:variant>
      <vt:variant>
        <vt:lpwstr>tra262</vt:lpwstr>
      </vt:variant>
      <vt:variant>
        <vt:i4>7077930</vt:i4>
      </vt:variant>
      <vt:variant>
        <vt:i4>189</vt:i4>
      </vt:variant>
      <vt:variant>
        <vt:i4>0</vt:i4>
      </vt:variant>
      <vt:variant>
        <vt:i4>5</vt:i4>
      </vt:variant>
      <vt:variant>
        <vt:lpwstr/>
      </vt:variant>
      <vt:variant>
        <vt:lpwstr>nor261</vt:lpwstr>
      </vt:variant>
      <vt:variant>
        <vt:i4>3145782</vt:i4>
      </vt:variant>
      <vt:variant>
        <vt:i4>186</vt:i4>
      </vt:variant>
      <vt:variant>
        <vt:i4>0</vt:i4>
      </vt:variant>
      <vt:variant>
        <vt:i4>5</vt:i4>
      </vt:variant>
      <vt:variant>
        <vt:lpwstr/>
      </vt:variant>
      <vt:variant>
        <vt:lpwstr>tipo26</vt:lpwstr>
      </vt:variant>
      <vt:variant>
        <vt:i4>7471139</vt:i4>
      </vt:variant>
      <vt:variant>
        <vt:i4>183</vt:i4>
      </vt:variant>
      <vt:variant>
        <vt:i4>0</vt:i4>
      </vt:variant>
      <vt:variant>
        <vt:i4>5</vt:i4>
      </vt:variant>
      <vt:variant>
        <vt:lpwstr/>
      </vt:variant>
      <vt:variant>
        <vt:lpwstr>tra262</vt:lpwstr>
      </vt:variant>
      <vt:variant>
        <vt:i4>7077930</vt:i4>
      </vt:variant>
      <vt:variant>
        <vt:i4>180</vt:i4>
      </vt:variant>
      <vt:variant>
        <vt:i4>0</vt:i4>
      </vt:variant>
      <vt:variant>
        <vt:i4>5</vt:i4>
      </vt:variant>
      <vt:variant>
        <vt:lpwstr/>
      </vt:variant>
      <vt:variant>
        <vt:lpwstr>nor261</vt:lpwstr>
      </vt:variant>
      <vt:variant>
        <vt:i4>3145782</vt:i4>
      </vt:variant>
      <vt:variant>
        <vt:i4>177</vt:i4>
      </vt:variant>
      <vt:variant>
        <vt:i4>0</vt:i4>
      </vt:variant>
      <vt:variant>
        <vt:i4>5</vt:i4>
      </vt:variant>
      <vt:variant>
        <vt:lpwstr/>
      </vt:variant>
      <vt:variant>
        <vt:lpwstr>tipo26</vt:lpwstr>
      </vt:variant>
      <vt:variant>
        <vt:i4>71</vt:i4>
      </vt:variant>
      <vt:variant>
        <vt:i4>174</vt:i4>
      </vt:variant>
      <vt:variant>
        <vt:i4>0</vt:i4>
      </vt:variant>
      <vt:variant>
        <vt:i4>5</vt:i4>
      </vt:variant>
      <vt:variant>
        <vt:lpwstr/>
      </vt:variant>
      <vt:variant>
        <vt:lpwstr>t232</vt:lpwstr>
      </vt:variant>
      <vt:variant>
        <vt:i4>196701</vt:i4>
      </vt:variant>
      <vt:variant>
        <vt:i4>171</vt:i4>
      </vt:variant>
      <vt:variant>
        <vt:i4>0</vt:i4>
      </vt:variant>
      <vt:variant>
        <vt:i4>5</vt:i4>
      </vt:variant>
      <vt:variant>
        <vt:lpwstr/>
      </vt:variant>
      <vt:variant>
        <vt:lpwstr>n231</vt:lpwstr>
      </vt:variant>
      <vt:variant>
        <vt:i4>6422633</vt:i4>
      </vt:variant>
      <vt:variant>
        <vt:i4>168</vt:i4>
      </vt:variant>
      <vt:variant>
        <vt:i4>0</vt:i4>
      </vt:variant>
      <vt:variant>
        <vt:i4>5</vt:i4>
      </vt:variant>
      <vt:variant>
        <vt:lpwstr/>
      </vt:variant>
      <vt:variant>
        <vt:lpwstr>global</vt:lpwstr>
      </vt:variant>
      <vt:variant>
        <vt:i4>7995435</vt:i4>
      </vt:variant>
      <vt:variant>
        <vt:i4>165</vt:i4>
      </vt:variant>
      <vt:variant>
        <vt:i4>0</vt:i4>
      </vt:variant>
      <vt:variant>
        <vt:i4>5</vt:i4>
      </vt:variant>
      <vt:variant>
        <vt:lpwstr/>
      </vt:variant>
      <vt:variant>
        <vt:lpwstr>tratamiento272</vt:lpwstr>
      </vt:variant>
      <vt:variant>
        <vt:i4>196674</vt:i4>
      </vt:variant>
      <vt:variant>
        <vt:i4>162</vt:i4>
      </vt:variant>
      <vt:variant>
        <vt:i4>0</vt:i4>
      </vt:variant>
      <vt:variant>
        <vt:i4>5</vt:i4>
      </vt:variant>
      <vt:variant>
        <vt:lpwstr/>
      </vt:variant>
      <vt:variant>
        <vt:lpwstr>normativa271</vt:lpwstr>
      </vt:variant>
      <vt:variant>
        <vt:i4>3211318</vt:i4>
      </vt:variant>
      <vt:variant>
        <vt:i4>159</vt:i4>
      </vt:variant>
      <vt:variant>
        <vt:i4>0</vt:i4>
      </vt:variant>
      <vt:variant>
        <vt:i4>5</vt:i4>
      </vt:variant>
      <vt:variant>
        <vt:lpwstr/>
      </vt:variant>
      <vt:variant>
        <vt:lpwstr>tipo27</vt:lpwstr>
      </vt:variant>
      <vt:variant>
        <vt:i4>66</vt:i4>
      </vt:variant>
      <vt:variant>
        <vt:i4>156</vt:i4>
      </vt:variant>
      <vt:variant>
        <vt:i4>0</vt:i4>
      </vt:variant>
      <vt:variant>
        <vt:i4>5</vt:i4>
      </vt:variant>
      <vt:variant>
        <vt:lpwstr/>
      </vt:variant>
      <vt:variant>
        <vt:lpwstr>t262</vt:lpwstr>
      </vt:variant>
      <vt:variant>
        <vt:i4>196696</vt:i4>
      </vt:variant>
      <vt:variant>
        <vt:i4>153</vt:i4>
      </vt:variant>
      <vt:variant>
        <vt:i4>0</vt:i4>
      </vt:variant>
      <vt:variant>
        <vt:i4>5</vt:i4>
      </vt:variant>
      <vt:variant>
        <vt:lpwstr/>
      </vt:variant>
      <vt:variant>
        <vt:lpwstr>n261</vt:lpwstr>
      </vt:variant>
      <vt:variant>
        <vt:i4>3276854</vt:i4>
      </vt:variant>
      <vt:variant>
        <vt:i4>150</vt:i4>
      </vt:variant>
      <vt:variant>
        <vt:i4>0</vt:i4>
      </vt:variant>
      <vt:variant>
        <vt:i4>5</vt:i4>
      </vt:variant>
      <vt:variant>
        <vt:lpwstr/>
      </vt:variant>
      <vt:variant>
        <vt:lpwstr>tipo24</vt:lpwstr>
      </vt:variant>
      <vt:variant>
        <vt:i4>70</vt:i4>
      </vt:variant>
      <vt:variant>
        <vt:i4>147</vt:i4>
      </vt:variant>
      <vt:variant>
        <vt:i4>0</vt:i4>
      </vt:variant>
      <vt:variant>
        <vt:i4>5</vt:i4>
      </vt:variant>
      <vt:variant>
        <vt:lpwstr/>
      </vt:variant>
      <vt:variant>
        <vt:lpwstr>t222</vt:lpwstr>
      </vt:variant>
      <vt:variant>
        <vt:i4>196700</vt:i4>
      </vt:variant>
      <vt:variant>
        <vt:i4>144</vt:i4>
      </vt:variant>
      <vt:variant>
        <vt:i4>0</vt:i4>
      </vt:variant>
      <vt:variant>
        <vt:i4>5</vt:i4>
      </vt:variant>
      <vt:variant>
        <vt:lpwstr/>
      </vt:variant>
      <vt:variant>
        <vt:lpwstr>n221</vt:lpwstr>
      </vt:variant>
      <vt:variant>
        <vt:i4>3276898</vt:i4>
      </vt:variant>
      <vt:variant>
        <vt:i4>141</vt:i4>
      </vt:variant>
      <vt:variant>
        <vt:i4>0</vt:i4>
      </vt:variant>
      <vt:variant>
        <vt:i4>5</vt:i4>
      </vt:variant>
      <vt:variant>
        <vt:lpwstr/>
      </vt:variant>
      <vt:variant>
        <vt:lpwstr>B2</vt:lpwstr>
      </vt:variant>
      <vt:variant>
        <vt:i4>7995433</vt:i4>
      </vt:variant>
      <vt:variant>
        <vt:i4>138</vt:i4>
      </vt:variant>
      <vt:variant>
        <vt:i4>0</vt:i4>
      </vt:variant>
      <vt:variant>
        <vt:i4>5</vt:i4>
      </vt:variant>
      <vt:variant>
        <vt:lpwstr/>
      </vt:variant>
      <vt:variant>
        <vt:lpwstr>tratamiento252</vt:lpwstr>
      </vt:variant>
      <vt:variant>
        <vt:i4>196672</vt:i4>
      </vt:variant>
      <vt:variant>
        <vt:i4>135</vt:i4>
      </vt:variant>
      <vt:variant>
        <vt:i4>0</vt:i4>
      </vt:variant>
      <vt:variant>
        <vt:i4>5</vt:i4>
      </vt:variant>
      <vt:variant>
        <vt:lpwstr/>
      </vt:variant>
      <vt:variant>
        <vt:lpwstr>normativa251</vt:lpwstr>
      </vt:variant>
      <vt:variant>
        <vt:i4>4128942</vt:i4>
      </vt:variant>
      <vt:variant>
        <vt:i4>132</vt:i4>
      </vt:variant>
      <vt:variant>
        <vt:i4>0</vt:i4>
      </vt:variant>
      <vt:variant>
        <vt:i4>5</vt:i4>
      </vt:variant>
      <vt:variant>
        <vt:lpwstr/>
      </vt:variant>
      <vt:variant>
        <vt:lpwstr>construcción25</vt:lpwstr>
      </vt:variant>
      <vt:variant>
        <vt:i4>7995432</vt:i4>
      </vt:variant>
      <vt:variant>
        <vt:i4>129</vt:i4>
      </vt:variant>
      <vt:variant>
        <vt:i4>0</vt:i4>
      </vt:variant>
      <vt:variant>
        <vt:i4>5</vt:i4>
      </vt:variant>
      <vt:variant>
        <vt:lpwstr/>
      </vt:variant>
      <vt:variant>
        <vt:lpwstr>tratamiento242</vt:lpwstr>
      </vt:variant>
      <vt:variant>
        <vt:i4>6488111</vt:i4>
      </vt:variant>
      <vt:variant>
        <vt:i4>126</vt:i4>
      </vt:variant>
      <vt:variant>
        <vt:i4>0</vt:i4>
      </vt:variant>
      <vt:variant>
        <vt:i4>5</vt:i4>
      </vt:variant>
      <vt:variant>
        <vt:lpwstr/>
      </vt:variant>
      <vt:variant>
        <vt:lpwstr>Comentarios242</vt:lpwstr>
      </vt:variant>
      <vt:variant>
        <vt:i4>196673</vt:i4>
      </vt:variant>
      <vt:variant>
        <vt:i4>123</vt:i4>
      </vt:variant>
      <vt:variant>
        <vt:i4>0</vt:i4>
      </vt:variant>
      <vt:variant>
        <vt:i4>5</vt:i4>
      </vt:variant>
      <vt:variant>
        <vt:lpwstr/>
      </vt:variant>
      <vt:variant>
        <vt:lpwstr>normativa241</vt:lpwstr>
      </vt:variant>
      <vt:variant>
        <vt:i4>11665508</vt:i4>
      </vt:variant>
      <vt:variant>
        <vt:i4>120</vt:i4>
      </vt:variant>
      <vt:variant>
        <vt:i4>0</vt:i4>
      </vt:variant>
      <vt:variant>
        <vt:i4>5</vt:i4>
      </vt:variant>
      <vt:variant>
        <vt:lpwstr/>
      </vt:variant>
      <vt:variant>
        <vt:lpwstr>deducción24</vt:lpwstr>
      </vt:variant>
      <vt:variant>
        <vt:i4>7995439</vt:i4>
      </vt:variant>
      <vt:variant>
        <vt:i4>117</vt:i4>
      </vt:variant>
      <vt:variant>
        <vt:i4>0</vt:i4>
      </vt:variant>
      <vt:variant>
        <vt:i4>5</vt:i4>
      </vt:variant>
      <vt:variant>
        <vt:lpwstr/>
      </vt:variant>
      <vt:variant>
        <vt:lpwstr>Tratamiento232</vt:lpwstr>
      </vt:variant>
      <vt:variant>
        <vt:i4>6488104</vt:i4>
      </vt:variant>
      <vt:variant>
        <vt:i4>114</vt:i4>
      </vt:variant>
      <vt:variant>
        <vt:i4>0</vt:i4>
      </vt:variant>
      <vt:variant>
        <vt:i4>5</vt:i4>
      </vt:variant>
      <vt:variant>
        <vt:lpwstr/>
      </vt:variant>
      <vt:variant>
        <vt:lpwstr>Comentarios232</vt:lpwstr>
      </vt:variant>
      <vt:variant>
        <vt:i4>196678</vt:i4>
      </vt:variant>
      <vt:variant>
        <vt:i4>111</vt:i4>
      </vt:variant>
      <vt:variant>
        <vt:i4>0</vt:i4>
      </vt:variant>
      <vt:variant>
        <vt:i4>5</vt:i4>
      </vt:variant>
      <vt:variant>
        <vt:lpwstr/>
      </vt:variant>
      <vt:variant>
        <vt:lpwstr>Normativa231</vt:lpwstr>
      </vt:variant>
      <vt:variant>
        <vt:i4>655388</vt:i4>
      </vt:variant>
      <vt:variant>
        <vt:i4>108</vt:i4>
      </vt:variant>
      <vt:variant>
        <vt:i4>0</vt:i4>
      </vt:variant>
      <vt:variant>
        <vt:i4>5</vt:i4>
      </vt:variant>
      <vt:variant>
        <vt:lpwstr/>
      </vt:variant>
      <vt:variant>
        <vt:lpwstr>joven</vt:lpwstr>
      </vt:variant>
      <vt:variant>
        <vt:i4>6553708</vt:i4>
      </vt:variant>
      <vt:variant>
        <vt:i4>105</vt:i4>
      </vt:variant>
      <vt:variant>
        <vt:i4>0</vt:i4>
      </vt:variant>
      <vt:variant>
        <vt:i4>5</vt:i4>
      </vt:variant>
      <vt:variant>
        <vt:lpwstr/>
      </vt:variant>
      <vt:variant>
        <vt:lpwstr>tzonadespoblada</vt:lpwstr>
      </vt:variant>
      <vt:variant>
        <vt:i4>6488105</vt:i4>
      </vt:variant>
      <vt:variant>
        <vt:i4>102</vt:i4>
      </vt:variant>
      <vt:variant>
        <vt:i4>0</vt:i4>
      </vt:variant>
      <vt:variant>
        <vt:i4>5</vt:i4>
      </vt:variant>
      <vt:variant>
        <vt:lpwstr/>
      </vt:variant>
      <vt:variant>
        <vt:lpwstr>Comentarios222</vt:lpwstr>
      </vt:variant>
      <vt:variant>
        <vt:i4>6553718</vt:i4>
      </vt:variant>
      <vt:variant>
        <vt:i4>99</vt:i4>
      </vt:variant>
      <vt:variant>
        <vt:i4>0</vt:i4>
      </vt:variant>
      <vt:variant>
        <vt:i4>5</vt:i4>
      </vt:variant>
      <vt:variant>
        <vt:lpwstr/>
      </vt:variant>
      <vt:variant>
        <vt:lpwstr>nzonadespoblada</vt:lpwstr>
      </vt:variant>
      <vt:variant>
        <vt:i4>7929956</vt:i4>
      </vt:variant>
      <vt:variant>
        <vt:i4>96</vt:i4>
      </vt:variant>
      <vt:variant>
        <vt:i4>0</vt:i4>
      </vt:variant>
      <vt:variant>
        <vt:i4>5</vt:i4>
      </vt:variant>
      <vt:variant>
        <vt:lpwstr/>
      </vt:variant>
      <vt:variant>
        <vt:lpwstr>zonadespoblada</vt:lpwstr>
      </vt:variant>
      <vt:variant>
        <vt:i4>7995439</vt:i4>
      </vt:variant>
      <vt:variant>
        <vt:i4>93</vt:i4>
      </vt:variant>
      <vt:variant>
        <vt:i4>0</vt:i4>
      </vt:variant>
      <vt:variant>
        <vt:i4>5</vt:i4>
      </vt:variant>
      <vt:variant>
        <vt:lpwstr/>
      </vt:variant>
      <vt:variant>
        <vt:lpwstr>tratamiento232</vt:lpwstr>
      </vt:variant>
      <vt:variant>
        <vt:i4>196678</vt:i4>
      </vt:variant>
      <vt:variant>
        <vt:i4>90</vt:i4>
      </vt:variant>
      <vt:variant>
        <vt:i4>0</vt:i4>
      </vt:variant>
      <vt:variant>
        <vt:i4>5</vt:i4>
      </vt:variant>
      <vt:variant>
        <vt:lpwstr/>
      </vt:variant>
      <vt:variant>
        <vt:lpwstr>normativa231</vt:lpwstr>
      </vt:variant>
      <vt:variant>
        <vt:i4>2031638</vt:i4>
      </vt:variant>
      <vt:variant>
        <vt:i4>87</vt:i4>
      </vt:variant>
      <vt:variant>
        <vt:i4>0</vt:i4>
      </vt:variant>
      <vt:variant>
        <vt:i4>5</vt:i4>
      </vt:variant>
      <vt:variant>
        <vt:lpwstr/>
      </vt:variant>
      <vt:variant>
        <vt:lpwstr>incrementadoedificios</vt:lpwstr>
      </vt:variant>
      <vt:variant>
        <vt:i4>8060974</vt:i4>
      </vt:variant>
      <vt:variant>
        <vt:i4>84</vt:i4>
      </vt:variant>
      <vt:variant>
        <vt:i4>0</vt:i4>
      </vt:variant>
      <vt:variant>
        <vt:i4>5</vt:i4>
      </vt:variant>
      <vt:variant>
        <vt:lpwstr/>
      </vt:variant>
      <vt:variant>
        <vt:lpwstr>tratamiento223</vt:lpwstr>
      </vt:variant>
      <vt:variant>
        <vt:i4>6488105</vt:i4>
      </vt:variant>
      <vt:variant>
        <vt:i4>81</vt:i4>
      </vt:variant>
      <vt:variant>
        <vt:i4>0</vt:i4>
      </vt:variant>
      <vt:variant>
        <vt:i4>5</vt:i4>
      </vt:variant>
      <vt:variant>
        <vt:lpwstr/>
      </vt:variant>
      <vt:variant>
        <vt:lpwstr>Comentarios222</vt:lpwstr>
      </vt:variant>
      <vt:variant>
        <vt:i4>196679</vt:i4>
      </vt:variant>
      <vt:variant>
        <vt:i4>78</vt:i4>
      </vt:variant>
      <vt:variant>
        <vt:i4>0</vt:i4>
      </vt:variant>
      <vt:variant>
        <vt:i4>5</vt:i4>
      </vt:variant>
      <vt:variant>
        <vt:lpwstr/>
      </vt:variant>
      <vt:variant>
        <vt:lpwstr>normativa221</vt:lpwstr>
      </vt:variant>
      <vt:variant>
        <vt:i4>2293800</vt:i4>
      </vt:variant>
      <vt:variant>
        <vt:i4>75</vt:i4>
      </vt:variant>
      <vt:variant>
        <vt:i4>0</vt:i4>
      </vt:variant>
      <vt:variant>
        <vt:i4>5</vt:i4>
      </vt:variant>
      <vt:variant>
        <vt:lpwstr/>
      </vt:variant>
      <vt:variant>
        <vt:lpwstr>incrementado22</vt:lpwstr>
      </vt:variant>
      <vt:variant>
        <vt:i4>7864569</vt:i4>
      </vt:variant>
      <vt:variant>
        <vt:i4>72</vt:i4>
      </vt:variant>
      <vt:variant>
        <vt:i4>0</vt:i4>
      </vt:variant>
      <vt:variant>
        <vt:i4>5</vt:i4>
      </vt:variant>
      <vt:variant>
        <vt:lpwstr/>
      </vt:variant>
      <vt:variant>
        <vt:lpwstr>interpretación</vt:lpwstr>
      </vt:variant>
      <vt:variant>
        <vt:i4>5177410</vt:i4>
      </vt:variant>
      <vt:variant>
        <vt:i4>69</vt:i4>
      </vt:variant>
      <vt:variant>
        <vt:i4>0</vt:i4>
      </vt:variant>
      <vt:variant>
        <vt:i4>5</vt:i4>
      </vt:variant>
      <vt:variant>
        <vt:lpwstr/>
      </vt:variant>
      <vt:variant>
        <vt:lpwstr>cuadro213</vt:lpwstr>
      </vt:variant>
      <vt:variant>
        <vt:i4>7274541</vt:i4>
      </vt:variant>
      <vt:variant>
        <vt:i4>66</vt:i4>
      </vt:variant>
      <vt:variant>
        <vt:i4>0</vt:i4>
      </vt:variant>
      <vt:variant>
        <vt:i4>5</vt:i4>
      </vt:variant>
      <vt:variant>
        <vt:lpwstr/>
      </vt:variant>
      <vt:variant>
        <vt:lpwstr>nOR212</vt:lpwstr>
      </vt:variant>
      <vt:variant>
        <vt:i4>196692</vt:i4>
      </vt:variant>
      <vt:variant>
        <vt:i4>63</vt:i4>
      </vt:variant>
      <vt:variant>
        <vt:i4>0</vt:i4>
      </vt:variant>
      <vt:variant>
        <vt:i4>5</vt:i4>
      </vt:variant>
      <vt:variant>
        <vt:lpwstr/>
      </vt:variant>
      <vt:variant>
        <vt:lpwstr>e211</vt:lpwstr>
      </vt:variant>
      <vt:variant>
        <vt:i4>6422643</vt:i4>
      </vt:variant>
      <vt:variant>
        <vt:i4>60</vt:i4>
      </vt:variant>
      <vt:variant>
        <vt:i4>0</vt:i4>
      </vt:variant>
      <vt:variant>
        <vt:i4>5</vt:i4>
      </vt:variant>
      <vt:variant>
        <vt:lpwstr/>
      </vt:variant>
      <vt:variant>
        <vt:lpwstr>tiposgenerales</vt:lpwstr>
      </vt:variant>
      <vt:variant>
        <vt:i4>98</vt:i4>
      </vt:variant>
      <vt:variant>
        <vt:i4>57</vt:i4>
      </vt:variant>
      <vt:variant>
        <vt:i4>0</vt:i4>
      </vt:variant>
      <vt:variant>
        <vt:i4>5</vt:i4>
      </vt:variant>
      <vt:variant>
        <vt:lpwstr/>
      </vt:variant>
      <vt:variant>
        <vt:lpwstr>B</vt:lpwstr>
      </vt:variant>
      <vt:variant>
        <vt:i4>1572922</vt:i4>
      </vt:variant>
      <vt:variant>
        <vt:i4>54</vt:i4>
      </vt:variant>
      <vt:variant>
        <vt:i4>0</vt:i4>
      </vt:variant>
      <vt:variant>
        <vt:i4>5</vt:i4>
      </vt:variant>
      <vt:variant>
        <vt:lpwstr>http://noticias.juridicas.com/base_datos/CCAA/as-l4-2002.html</vt:lpwstr>
      </vt:variant>
      <vt:variant>
        <vt:lpwstr/>
      </vt:variant>
      <vt:variant>
        <vt:i4>3539050</vt:i4>
      </vt:variant>
      <vt:variant>
        <vt:i4>51</vt:i4>
      </vt:variant>
      <vt:variant>
        <vt:i4>0</vt:i4>
      </vt:variant>
      <vt:variant>
        <vt:i4>5</vt:i4>
      </vt:variant>
      <vt:variant>
        <vt:lpwstr/>
      </vt:variant>
      <vt:variant>
        <vt:lpwstr>A5nuevo</vt:lpwstr>
      </vt:variant>
      <vt:variant>
        <vt:i4>7143524</vt:i4>
      </vt:variant>
      <vt:variant>
        <vt:i4>48</vt:i4>
      </vt:variant>
      <vt:variant>
        <vt:i4>0</vt:i4>
      </vt:variant>
      <vt:variant>
        <vt:i4>5</vt:i4>
      </vt:variant>
      <vt:variant>
        <vt:lpwstr/>
      </vt:variant>
      <vt:variant>
        <vt:lpwstr>Formayplazo</vt:lpwstr>
      </vt:variant>
      <vt:variant>
        <vt:i4>16449652</vt:i4>
      </vt:variant>
      <vt:variant>
        <vt:i4>45</vt:i4>
      </vt:variant>
      <vt:variant>
        <vt:i4>0</vt:i4>
      </vt:variant>
      <vt:variant>
        <vt:i4>5</vt:i4>
      </vt:variant>
      <vt:variant>
        <vt:lpwstr/>
      </vt:variant>
      <vt:variant>
        <vt:lpwstr>Tramitación</vt:lpwstr>
      </vt:variant>
      <vt:variant>
        <vt:i4>16515189</vt:i4>
      </vt:variant>
      <vt:variant>
        <vt:i4>42</vt:i4>
      </vt:variant>
      <vt:variant>
        <vt:i4>0</vt:i4>
      </vt:variant>
      <vt:variant>
        <vt:i4>5</vt:i4>
      </vt:variant>
      <vt:variant>
        <vt:lpwstr/>
      </vt:variant>
      <vt:variant>
        <vt:lpwstr>Información</vt:lpwstr>
      </vt:variant>
      <vt:variant>
        <vt:i4>15204476</vt:i4>
      </vt:variant>
      <vt:variant>
        <vt:i4>39</vt:i4>
      </vt:variant>
      <vt:variant>
        <vt:i4>0</vt:i4>
      </vt:variant>
      <vt:variant>
        <vt:i4>5</vt:i4>
      </vt:variant>
      <vt:variant>
        <vt:lpwstr/>
      </vt:variant>
      <vt:variant>
        <vt:lpwstr>Liquidación</vt:lpwstr>
      </vt:variant>
      <vt:variant>
        <vt:i4>7929966</vt:i4>
      </vt:variant>
      <vt:variant>
        <vt:i4>36</vt:i4>
      </vt:variant>
      <vt:variant>
        <vt:i4>0</vt:i4>
      </vt:variant>
      <vt:variant>
        <vt:i4>5</vt:i4>
      </vt:variant>
      <vt:variant>
        <vt:lpwstr/>
      </vt:variant>
      <vt:variant>
        <vt:lpwstr>valorderefencia</vt:lpwstr>
      </vt:variant>
      <vt:variant>
        <vt:i4>6815992</vt:i4>
      </vt:variant>
      <vt:variant>
        <vt:i4>33</vt:i4>
      </vt:variant>
      <vt:variant>
        <vt:i4>0</vt:i4>
      </vt:variant>
      <vt:variant>
        <vt:i4>5</vt:i4>
      </vt:variant>
      <vt:variant>
        <vt:lpwstr/>
      </vt:variant>
      <vt:variant>
        <vt:lpwstr>valoración</vt:lpwstr>
      </vt:variant>
      <vt:variant>
        <vt:i4>15269986</vt:i4>
      </vt:variant>
      <vt:variant>
        <vt:i4>30</vt:i4>
      </vt:variant>
      <vt:variant>
        <vt:i4>0</vt:i4>
      </vt:variant>
      <vt:variant>
        <vt:i4>5</vt:i4>
      </vt:variant>
      <vt:variant>
        <vt:lpwstr/>
      </vt:variant>
      <vt:variant>
        <vt:lpwstr>Telemáticas</vt:lpwstr>
      </vt:variant>
      <vt:variant>
        <vt:i4>1835088</vt:i4>
      </vt:variant>
      <vt:variant>
        <vt:i4>27</vt:i4>
      </vt:variant>
      <vt:variant>
        <vt:i4>0</vt:i4>
      </vt:variant>
      <vt:variant>
        <vt:i4>5</vt:i4>
      </vt:variant>
      <vt:variant>
        <vt:lpwstr>http://www.tributasenasturias.es/</vt:lpwstr>
      </vt:variant>
      <vt:variant>
        <vt:lpwstr/>
      </vt:variant>
      <vt:variant>
        <vt:i4>1048692</vt:i4>
      </vt:variant>
      <vt:variant>
        <vt:i4>21</vt:i4>
      </vt:variant>
      <vt:variant>
        <vt:i4>0</vt:i4>
      </vt:variant>
      <vt:variant>
        <vt:i4>5</vt:i4>
      </vt:variant>
      <vt:variant>
        <vt:lpwstr>http://noticias.juridicas.com/base_datos/CCAA/538599-decreto-legislativo-2-2014-de-22-de-octubre-por-el-que-se-aprueba-el-texto.html</vt:lpwstr>
      </vt:variant>
      <vt:variant>
        <vt:lpwstr/>
      </vt:variant>
      <vt:variant>
        <vt:i4>3211361</vt:i4>
      </vt:variant>
      <vt:variant>
        <vt:i4>18</vt:i4>
      </vt:variant>
      <vt:variant>
        <vt:i4>0</vt:i4>
      </vt:variant>
      <vt:variant>
        <vt:i4>5</vt:i4>
      </vt:variant>
      <vt:variant>
        <vt:lpwstr/>
      </vt:variant>
      <vt:variant>
        <vt:lpwstr>A1</vt:lpwstr>
      </vt:variant>
      <vt:variant>
        <vt:i4>6160594</vt:i4>
      </vt:variant>
      <vt:variant>
        <vt:i4>15</vt:i4>
      </vt:variant>
      <vt:variant>
        <vt:i4>0</vt:i4>
      </vt:variant>
      <vt:variant>
        <vt:i4>5</vt:i4>
      </vt:variant>
      <vt:variant>
        <vt:lpwstr/>
      </vt:variant>
      <vt:variant>
        <vt:lpwstr>suspensión723</vt:lpwstr>
      </vt:variant>
      <vt:variant>
        <vt:i4>5636164</vt:i4>
      </vt:variant>
      <vt:variant>
        <vt:i4>12</vt:i4>
      </vt:variant>
      <vt:variant>
        <vt:i4>0</vt:i4>
      </vt:variant>
      <vt:variant>
        <vt:i4>5</vt:i4>
      </vt:variant>
      <vt:variant>
        <vt:lpwstr/>
      </vt:variant>
      <vt:variant>
        <vt:lpwstr>pasivo112</vt:lpwstr>
      </vt:variant>
      <vt:variant>
        <vt:i4>5832905</vt:i4>
      </vt:variant>
      <vt:variant>
        <vt:i4>9</vt:i4>
      </vt:variant>
      <vt:variant>
        <vt:i4>0</vt:i4>
      </vt:variant>
      <vt:variant>
        <vt:i4>5</vt:i4>
      </vt:variant>
      <vt:variant>
        <vt:lpwstr/>
      </vt:variant>
      <vt:variant>
        <vt:lpwstr>valoración111</vt:lpwstr>
      </vt:variant>
      <vt:variant>
        <vt:i4>1441871</vt:i4>
      </vt:variant>
      <vt:variant>
        <vt:i4>6</vt:i4>
      </vt:variant>
      <vt:variant>
        <vt:i4>0</vt:i4>
      </vt:variant>
      <vt:variant>
        <vt:i4>5</vt:i4>
      </vt:variant>
      <vt:variant>
        <vt:lpwstr/>
      </vt:variant>
      <vt:variant>
        <vt:lpwstr>Plazo111</vt:lpwstr>
      </vt:variant>
      <vt:variant>
        <vt:i4>1179659</vt:i4>
      </vt:variant>
      <vt:variant>
        <vt:i4>3</vt:i4>
      </vt:variant>
      <vt:variant>
        <vt:i4>0</vt:i4>
      </vt:variant>
      <vt:variant>
        <vt:i4>5</vt:i4>
      </vt:variant>
      <vt:variant>
        <vt:lpwstr/>
      </vt:variant>
      <vt:variant>
        <vt:lpwstr>warnings</vt:lpwstr>
      </vt:variant>
      <vt:variant>
        <vt:i4>97</vt:i4>
      </vt:variant>
      <vt:variant>
        <vt:i4>0</vt:i4>
      </vt:variant>
      <vt:variant>
        <vt:i4>0</vt:i4>
      </vt:variant>
      <vt:variant>
        <vt:i4>5</vt:i4>
      </vt:variant>
      <vt:variant>
        <vt:lpwstr/>
      </vt:variant>
      <vt:variant>
        <vt:lpwstr>A</vt:lpwstr>
      </vt:variant>
      <vt:variant>
        <vt:i4>7471228</vt:i4>
      </vt:variant>
      <vt:variant>
        <vt:i4>168</vt:i4>
      </vt:variant>
      <vt:variant>
        <vt:i4>0</vt:i4>
      </vt:variant>
      <vt:variant>
        <vt:i4>5</vt:i4>
      </vt:variant>
      <vt:variant>
        <vt:lpwstr>http://www.boe.es/boe/dias/2015/07/11/pdfs/BOE-A-2015-7765.pdf</vt:lpwstr>
      </vt:variant>
      <vt:variant>
        <vt:lpwstr/>
      </vt:variant>
      <vt:variant>
        <vt:i4>1179696</vt:i4>
      </vt:variant>
      <vt:variant>
        <vt:i4>165</vt:i4>
      </vt:variant>
      <vt:variant>
        <vt:i4>0</vt:i4>
      </vt:variant>
      <vt:variant>
        <vt:i4>5</vt:i4>
      </vt:variant>
      <vt:variant>
        <vt:lpwstr>http://noticias.juridicas.com/base_datos/Admin/l2-2012.html</vt:lpwstr>
      </vt:variant>
      <vt:variant>
        <vt:lpwstr>a66</vt:lpwstr>
      </vt:variant>
      <vt:variant>
        <vt:i4>2621562</vt:i4>
      </vt:variant>
      <vt:variant>
        <vt:i4>162</vt:i4>
      </vt:variant>
      <vt:variant>
        <vt:i4>0</vt:i4>
      </vt:variant>
      <vt:variant>
        <vt:i4>5</vt:i4>
      </vt:variant>
      <vt:variant>
        <vt:lpwstr>http://www.boe.es/boe/dias/2011/12/31/pdfs/BOE-A-2011-20638.pdf</vt:lpwstr>
      </vt:variant>
      <vt:variant>
        <vt:lpwstr/>
      </vt:variant>
      <vt:variant>
        <vt:i4>6946933</vt:i4>
      </vt:variant>
      <vt:variant>
        <vt:i4>159</vt:i4>
      </vt:variant>
      <vt:variant>
        <vt:i4>0</vt:i4>
      </vt:variant>
      <vt:variant>
        <vt:i4>5</vt:i4>
      </vt:variant>
      <vt:variant>
        <vt:lpwstr>http://www.notariosyregistradores.com/consultas-DGTr/2013-DICIEMBRE.htm</vt:lpwstr>
      </vt:variant>
      <vt:variant>
        <vt:lpwstr/>
      </vt:variant>
      <vt:variant>
        <vt:i4>7471228</vt:i4>
      </vt:variant>
      <vt:variant>
        <vt:i4>156</vt:i4>
      </vt:variant>
      <vt:variant>
        <vt:i4>0</vt:i4>
      </vt:variant>
      <vt:variant>
        <vt:i4>5</vt:i4>
      </vt:variant>
      <vt:variant>
        <vt:lpwstr>http://www.boe.es/boe/dias/2015/07/11/pdfs/BOE-A-2015-7765.pdf</vt:lpwstr>
      </vt:variant>
      <vt:variant>
        <vt:lpwstr/>
      </vt:variant>
      <vt:variant>
        <vt:i4>6815782</vt:i4>
      </vt:variant>
      <vt:variant>
        <vt:i4>153</vt:i4>
      </vt:variant>
      <vt:variant>
        <vt:i4>0</vt:i4>
      </vt:variant>
      <vt:variant>
        <vt:i4>5</vt:i4>
      </vt:variant>
      <vt:variant>
        <vt:lpwstr>https://sede.asturias.es/portal/site/Asturias/menuitem.1003733838db7342ebc4e191100000f7/?vgnextoid=d7d79d16b61ee010VgnVCM1000000100007fRCRD&amp;fecha=30/12/2006&amp;refArticulo=2006-2230066&amp;i18n.http.lang=es</vt:lpwstr>
      </vt:variant>
      <vt:variant>
        <vt:lpwstr/>
      </vt:variant>
      <vt:variant>
        <vt:i4>3735604</vt:i4>
      </vt:variant>
      <vt:variant>
        <vt:i4>150</vt:i4>
      </vt:variant>
      <vt:variant>
        <vt:i4>0</vt:i4>
      </vt:variant>
      <vt:variant>
        <vt:i4>5</vt:i4>
      </vt:variant>
      <vt:variant>
        <vt:lpwstr>http://www.notariosyregistradores.com/ACTUALIDAD FISCAL/CASOS-CONCRETOS/2014-administrador-gratuito-sucesiones.htm</vt:lpwstr>
      </vt:variant>
      <vt:variant>
        <vt:lpwstr/>
      </vt:variant>
      <vt:variant>
        <vt:i4>1441847</vt:i4>
      </vt:variant>
      <vt:variant>
        <vt:i4>147</vt:i4>
      </vt:variant>
      <vt:variant>
        <vt:i4>0</vt:i4>
      </vt:variant>
      <vt:variant>
        <vt:i4>5</vt:i4>
      </vt:variant>
      <vt:variant>
        <vt:lpwstr>http://www.meh.es/Documentacion/Publico/NormativaDoctrina/Tributaria/Impuesto sobre sucesiones y donaciones/Resolucion_2-1999.pdf</vt:lpwstr>
      </vt:variant>
      <vt:variant>
        <vt:lpwstr/>
      </vt:variant>
      <vt:variant>
        <vt:i4>1441847</vt:i4>
      </vt:variant>
      <vt:variant>
        <vt:i4>144</vt:i4>
      </vt:variant>
      <vt:variant>
        <vt:i4>0</vt:i4>
      </vt:variant>
      <vt:variant>
        <vt:i4>5</vt:i4>
      </vt:variant>
      <vt:variant>
        <vt:lpwstr>http://www.meh.es/Documentacion/Publico/NormativaDoctrina/Tributaria/Impuesto sobre sucesiones y donaciones/Resolucion_2-1999.pdf</vt:lpwstr>
      </vt:variant>
      <vt:variant>
        <vt:lpwstr/>
      </vt:variant>
      <vt:variant>
        <vt:i4>1441847</vt:i4>
      </vt:variant>
      <vt:variant>
        <vt:i4>141</vt:i4>
      </vt:variant>
      <vt:variant>
        <vt:i4>0</vt:i4>
      </vt:variant>
      <vt:variant>
        <vt:i4>5</vt:i4>
      </vt:variant>
      <vt:variant>
        <vt:lpwstr>http://www.meh.es/Documentacion/Publico/NormativaDoctrina/Tributaria/Impuesto sobre sucesiones y donaciones/Resolucion_2-1999.pdf</vt:lpwstr>
      </vt:variant>
      <vt:variant>
        <vt:lpwstr/>
      </vt:variant>
      <vt:variant>
        <vt:i4>2162709</vt:i4>
      </vt:variant>
      <vt:variant>
        <vt:i4>138</vt:i4>
      </vt:variant>
      <vt:variant>
        <vt:i4>0</vt:i4>
      </vt:variant>
      <vt:variant>
        <vt:i4>5</vt:i4>
      </vt:variant>
      <vt:variant>
        <vt:lpwstr>http://noticias.juridicas.com/base_datos/CCAA/538599-decreto-legislativo-2-2014-de-22-de-octubre-por-el-que-se-aprueba-el-texto.html</vt:lpwstr>
      </vt:variant>
      <vt:variant>
        <vt:lpwstr>a17</vt:lpwstr>
      </vt:variant>
      <vt:variant>
        <vt:i4>917562</vt:i4>
      </vt:variant>
      <vt:variant>
        <vt:i4>135</vt:i4>
      </vt:variant>
      <vt:variant>
        <vt:i4>0</vt:i4>
      </vt:variant>
      <vt:variant>
        <vt:i4>5</vt:i4>
      </vt:variant>
      <vt:variant>
        <vt:lpwstr>http://noticias.juridicas.com/base_datos/CCAA/ga-l2-2006.html</vt:lpwstr>
      </vt:variant>
      <vt:variant>
        <vt:lpwstr/>
      </vt:variant>
      <vt:variant>
        <vt:i4>1835016</vt:i4>
      </vt:variant>
      <vt:variant>
        <vt:i4>132</vt:i4>
      </vt:variant>
      <vt:variant>
        <vt:i4>0</vt:i4>
      </vt:variant>
      <vt:variant>
        <vt:i4>5</vt:i4>
      </vt:variant>
      <vt:variant>
        <vt:lpwstr>http://www.poderjudicial.es/search/openDocument/6d7aed82a84e31ea/20181003</vt:lpwstr>
      </vt:variant>
      <vt:variant>
        <vt:lpwstr/>
      </vt:variant>
      <vt:variant>
        <vt:i4>1376339</vt:i4>
      </vt:variant>
      <vt:variant>
        <vt:i4>129</vt:i4>
      </vt:variant>
      <vt:variant>
        <vt:i4>0</vt:i4>
      </vt:variant>
      <vt:variant>
        <vt:i4>5</vt:i4>
      </vt:variant>
      <vt:variant>
        <vt:lpwstr>http://www.poderjudicial.es/search/openDocument/47854c33d4fcf7ae/20170519</vt:lpwstr>
      </vt:variant>
      <vt:variant>
        <vt:lpwstr/>
      </vt:variant>
      <vt:variant>
        <vt:i4>5243003</vt:i4>
      </vt:variant>
      <vt:variant>
        <vt:i4>126</vt:i4>
      </vt:variant>
      <vt:variant>
        <vt:i4>0</vt:i4>
      </vt:variant>
      <vt:variant>
        <vt:i4>5</vt:i4>
      </vt:variant>
      <vt:variant>
        <vt:lpwstr>http://noticias.juridicas.com/base_datos/Fiscal/rd439-2007.t2.html</vt:lpwstr>
      </vt:variant>
      <vt:variant>
        <vt:lpwstr>a41</vt:lpwstr>
      </vt:variant>
      <vt:variant>
        <vt:i4>1441847</vt:i4>
      </vt:variant>
      <vt:variant>
        <vt:i4>123</vt:i4>
      </vt:variant>
      <vt:variant>
        <vt:i4>0</vt:i4>
      </vt:variant>
      <vt:variant>
        <vt:i4>5</vt:i4>
      </vt:variant>
      <vt:variant>
        <vt:lpwstr>http://www.meh.es/Documentacion/Publico/NormativaDoctrina/Tributaria/Impuesto sobre sucesiones y donaciones/Resolucion_2-1999.pdf</vt:lpwstr>
      </vt:variant>
      <vt:variant>
        <vt:lpwstr/>
      </vt:variant>
      <vt:variant>
        <vt:i4>7012391</vt:i4>
      </vt:variant>
      <vt:variant>
        <vt:i4>120</vt:i4>
      </vt:variant>
      <vt:variant>
        <vt:i4>0</vt:i4>
      </vt:variant>
      <vt:variant>
        <vt:i4>5</vt:i4>
      </vt:variant>
      <vt:variant>
        <vt:lpwstr>https://sede.asturias.es/portal/site/Asturias/menuitem.1003733838db7342ebc4e191100000f7/?vgnextoid=d7d79d16b61ee010VgnVCM1000000100007fRCRD&amp;fecha=31/12/2003&amp;refArticulo=2003-2231002&amp;i18n.http.lang=es</vt:lpwstr>
      </vt:variant>
      <vt:variant>
        <vt:lpwstr/>
      </vt:variant>
      <vt:variant>
        <vt:i4>8126489</vt:i4>
      </vt:variant>
      <vt:variant>
        <vt:i4>117</vt:i4>
      </vt:variant>
      <vt:variant>
        <vt:i4>0</vt:i4>
      </vt:variant>
      <vt:variant>
        <vt:i4>5</vt:i4>
      </vt:variant>
      <vt:variant>
        <vt:lpwstr>http://noticias.juridicas.com/base_datos/Fiscal/l29-1987.html</vt:lpwstr>
      </vt:variant>
      <vt:variant>
        <vt:lpwstr>a30</vt:lpwstr>
      </vt:variant>
      <vt:variant>
        <vt:i4>3997787</vt:i4>
      </vt:variant>
      <vt:variant>
        <vt:i4>114</vt:i4>
      </vt:variant>
      <vt:variant>
        <vt:i4>0</vt:i4>
      </vt:variant>
      <vt:variant>
        <vt:i4>5</vt:i4>
      </vt:variant>
      <vt:variant>
        <vt:lpwstr>http://noticias.juridicas.com/base_datos/Fiscal/l22-2009.t3.html</vt:lpwstr>
      </vt:variant>
      <vt:variant>
        <vt:lpwstr>a28</vt:lpwstr>
      </vt:variant>
      <vt:variant>
        <vt:i4>1900628</vt:i4>
      </vt:variant>
      <vt:variant>
        <vt:i4>111</vt:i4>
      </vt:variant>
      <vt:variant>
        <vt:i4>0</vt:i4>
      </vt:variant>
      <vt:variant>
        <vt:i4>5</vt:i4>
      </vt:variant>
      <vt:variant>
        <vt:lpwstr>http://www.juntadeandalucia.es/economiayhacienda/tributos/vinculantes/criterios/sucesiones.htm?objetivo22</vt:lpwstr>
      </vt:variant>
      <vt:variant>
        <vt:lpwstr/>
      </vt:variant>
      <vt:variant>
        <vt:i4>1572886</vt:i4>
      </vt:variant>
      <vt:variant>
        <vt:i4>108</vt:i4>
      </vt:variant>
      <vt:variant>
        <vt:i4>0</vt:i4>
      </vt:variant>
      <vt:variant>
        <vt:i4>5</vt:i4>
      </vt:variant>
      <vt:variant>
        <vt:lpwstr>http://www.juntadeandalucia.es/economiayhacienda/tributos/vinculantes/criterios/indice-sucesiones.htm</vt:lpwstr>
      </vt:variant>
      <vt:variant>
        <vt:lpwstr/>
      </vt:variant>
      <vt:variant>
        <vt:i4>7340132</vt:i4>
      </vt:variant>
      <vt:variant>
        <vt:i4>105</vt:i4>
      </vt:variant>
      <vt:variant>
        <vt:i4>0</vt:i4>
      </vt:variant>
      <vt:variant>
        <vt:i4>5</vt:i4>
      </vt:variant>
      <vt:variant>
        <vt:lpwstr>http://www.juntadeandalucia.es/economiayhacienda/tributos/vinculantes/criterios/sucesiones/Consulta 08-2017.pdf</vt:lpwstr>
      </vt:variant>
      <vt:variant>
        <vt:lpwstr/>
      </vt:variant>
      <vt:variant>
        <vt:i4>3342419</vt:i4>
      </vt:variant>
      <vt:variant>
        <vt:i4>102</vt:i4>
      </vt:variant>
      <vt:variant>
        <vt:i4>0</vt:i4>
      </vt:variant>
      <vt:variant>
        <vt:i4>5</vt:i4>
      </vt:variant>
      <vt:variant>
        <vt:lpwstr>http://noticias.juridicas.com/base_datos/Fiscal/l58-2003.t1.html</vt:lpwstr>
      </vt:variant>
      <vt:variant>
        <vt:lpwstr>a15</vt:lpwstr>
      </vt:variant>
      <vt:variant>
        <vt:i4>8061047</vt:i4>
      </vt:variant>
      <vt:variant>
        <vt:i4>99</vt:i4>
      </vt:variant>
      <vt:variant>
        <vt:i4>0</vt:i4>
      </vt:variant>
      <vt:variant>
        <vt:i4>5</vt:i4>
      </vt:variant>
      <vt:variant>
        <vt:lpwstr>http://www.poderjudicial.es/search/doAction?action=contentpdf&amp;databasematch=AN&amp;reference=6943574&amp;links=&amp;optimize=20140130&amp;publicinterface=true</vt:lpwstr>
      </vt:variant>
      <vt:variant>
        <vt:lpwstr/>
      </vt:variant>
      <vt:variant>
        <vt:i4>1835016</vt:i4>
      </vt:variant>
      <vt:variant>
        <vt:i4>96</vt:i4>
      </vt:variant>
      <vt:variant>
        <vt:i4>0</vt:i4>
      </vt:variant>
      <vt:variant>
        <vt:i4>5</vt:i4>
      </vt:variant>
      <vt:variant>
        <vt:lpwstr>http://www.poderjudicial.es/search/openDocument/6d7aed82a84e31ea/20181003</vt:lpwstr>
      </vt:variant>
      <vt:variant>
        <vt:lpwstr/>
      </vt:variant>
      <vt:variant>
        <vt:i4>1376339</vt:i4>
      </vt:variant>
      <vt:variant>
        <vt:i4>93</vt:i4>
      </vt:variant>
      <vt:variant>
        <vt:i4>0</vt:i4>
      </vt:variant>
      <vt:variant>
        <vt:i4>5</vt:i4>
      </vt:variant>
      <vt:variant>
        <vt:lpwstr>http://www.poderjudicial.es/search/openDocument/47854c33d4fcf7ae/20170519</vt:lpwstr>
      </vt:variant>
      <vt:variant>
        <vt:lpwstr/>
      </vt:variant>
      <vt:variant>
        <vt:i4>5308511</vt:i4>
      </vt:variant>
      <vt:variant>
        <vt:i4>90</vt:i4>
      </vt:variant>
      <vt:variant>
        <vt:i4>0</vt:i4>
      </vt:variant>
      <vt:variant>
        <vt:i4>5</vt:i4>
      </vt:variant>
      <vt:variant>
        <vt:lpwstr>http://www.notariosyregistradores.com/consultas-DGTr/2014-AGOSTO.htm</vt:lpwstr>
      </vt:variant>
      <vt:variant>
        <vt:lpwstr/>
      </vt:variant>
      <vt:variant>
        <vt:i4>3276874</vt:i4>
      </vt:variant>
      <vt:variant>
        <vt:i4>87</vt:i4>
      </vt:variant>
      <vt:variant>
        <vt:i4>0</vt:i4>
      </vt:variant>
      <vt:variant>
        <vt:i4>5</vt:i4>
      </vt:variant>
      <vt:variant>
        <vt:lpwstr>http://noticias.juridicas.com/base_datos/Fiscal/rd439-2007.t2.html</vt:lpwstr>
      </vt:variant>
      <vt:variant>
        <vt:lpwstr>a41b</vt:lpwstr>
      </vt:variant>
      <vt:variant>
        <vt:i4>196647</vt:i4>
      </vt:variant>
      <vt:variant>
        <vt:i4>84</vt:i4>
      </vt:variant>
      <vt:variant>
        <vt:i4>0</vt:i4>
      </vt:variant>
      <vt:variant>
        <vt:i4>5</vt:i4>
      </vt:variant>
      <vt:variant>
        <vt:lpwstr>http://noticias.juridicas.com/base_datos/Admin/l39-2006.html</vt:lpwstr>
      </vt:variant>
      <vt:variant>
        <vt:lpwstr/>
      </vt:variant>
      <vt:variant>
        <vt:i4>458797</vt:i4>
      </vt:variant>
      <vt:variant>
        <vt:i4>81</vt:i4>
      </vt:variant>
      <vt:variant>
        <vt:i4>0</vt:i4>
      </vt:variant>
      <vt:variant>
        <vt:i4>5</vt:i4>
      </vt:variant>
      <vt:variant>
        <vt:lpwstr>http://noticias.juridicas.com/base_datos/Fiscal/l35-2006.t3.html</vt:lpwstr>
      </vt:variant>
      <vt:variant>
        <vt:lpwstr>c2s4</vt:lpwstr>
      </vt:variant>
      <vt:variant>
        <vt:i4>5111818</vt:i4>
      </vt:variant>
      <vt:variant>
        <vt:i4>78</vt:i4>
      </vt:variant>
      <vt:variant>
        <vt:i4>0</vt:i4>
      </vt:variant>
      <vt:variant>
        <vt:i4>5</vt:i4>
      </vt:variant>
      <vt:variant>
        <vt:lpwstr>http://www.oviedonotaria.com/</vt:lpwstr>
      </vt:variant>
      <vt:variant>
        <vt:lpwstr/>
      </vt:variant>
      <vt:variant>
        <vt:i4>2621499</vt:i4>
      </vt:variant>
      <vt:variant>
        <vt:i4>75</vt:i4>
      </vt:variant>
      <vt:variant>
        <vt:i4>0</vt:i4>
      </vt:variant>
      <vt:variant>
        <vt:i4>5</vt:i4>
      </vt:variant>
      <vt:variant>
        <vt:lpwstr>http://www.notariosyregistradores.com/</vt:lpwstr>
      </vt:variant>
      <vt:variant>
        <vt:lpwstr/>
      </vt:variant>
      <vt:variant>
        <vt:i4>1703951</vt:i4>
      </vt:variant>
      <vt:variant>
        <vt:i4>72</vt:i4>
      </vt:variant>
      <vt:variant>
        <vt:i4>0</vt:i4>
      </vt:variant>
      <vt:variant>
        <vt:i4>5</vt:i4>
      </vt:variant>
      <vt:variant>
        <vt:lpwstr>https://www.notariosyregistradores.com/web/secciones/fiscal/varios-fiscal/cuadro-con-la-incidencia-impositiva-del-valor-de-referencia-fiscal/</vt:lpwstr>
      </vt:variant>
      <vt:variant>
        <vt:lpwstr/>
      </vt:variant>
      <vt:variant>
        <vt:i4>3932251</vt:i4>
      </vt:variant>
      <vt:variant>
        <vt:i4>69</vt:i4>
      </vt:variant>
      <vt:variant>
        <vt:i4>0</vt:i4>
      </vt:variant>
      <vt:variant>
        <vt:i4>5</vt:i4>
      </vt:variant>
      <vt:variant>
        <vt:lpwstr>http://noticias.juridicas.com/base_datos/Fiscal/l22-2009.t3.html</vt:lpwstr>
      </vt:variant>
      <vt:variant>
        <vt:lpwstr>a32</vt:lpwstr>
      </vt:variant>
      <vt:variant>
        <vt:i4>3932251</vt:i4>
      </vt:variant>
      <vt:variant>
        <vt:i4>66</vt:i4>
      </vt:variant>
      <vt:variant>
        <vt:i4>0</vt:i4>
      </vt:variant>
      <vt:variant>
        <vt:i4>5</vt:i4>
      </vt:variant>
      <vt:variant>
        <vt:lpwstr>http://noticias.juridicas.com/base_datos/Fiscal/l22-2009.t3.html</vt:lpwstr>
      </vt:variant>
      <vt:variant>
        <vt:lpwstr>a32</vt:lpwstr>
      </vt:variant>
      <vt:variant>
        <vt:i4>7602256</vt:i4>
      </vt:variant>
      <vt:variant>
        <vt:i4>63</vt:i4>
      </vt:variant>
      <vt:variant>
        <vt:i4>0</vt:i4>
      </vt:variant>
      <vt:variant>
        <vt:i4>5</vt:i4>
      </vt:variant>
      <vt:variant>
        <vt:lpwstr>https://noticias.juridicas.com/base_datos/Fiscal/749557-ley-6-2023-de-17-mar-mercados-de-valores-y-de-los-servicios-de-inversion.html</vt:lpwstr>
      </vt:variant>
      <vt:variant>
        <vt:lpwstr>a338</vt:lpwstr>
      </vt:variant>
      <vt:variant>
        <vt:i4>3604569</vt:i4>
      </vt:variant>
      <vt:variant>
        <vt:i4>60</vt:i4>
      </vt:variant>
      <vt:variant>
        <vt:i4>0</vt:i4>
      </vt:variant>
      <vt:variant>
        <vt:i4>5</vt:i4>
      </vt:variant>
      <vt:variant>
        <vt:lpwstr>http://noticias.juridicas.com/base_datos/Fiscal/l35-2006.t6.html</vt:lpwstr>
      </vt:variant>
      <vt:variant>
        <vt:lpwstr>a68</vt:lpwstr>
      </vt:variant>
      <vt:variant>
        <vt:i4>2228245</vt:i4>
      </vt:variant>
      <vt:variant>
        <vt:i4>57</vt:i4>
      </vt:variant>
      <vt:variant>
        <vt:i4>0</vt:i4>
      </vt:variant>
      <vt:variant>
        <vt:i4>5</vt:i4>
      </vt:variant>
      <vt:variant>
        <vt:lpwstr>http://noticias.juridicas.com/base_datos/CCAA/538599-decreto-legislativo-2-2014-de-22-de-octubre-por-el-que-se-aprueba-el-texto.html</vt:lpwstr>
      </vt:variant>
      <vt:variant>
        <vt:lpwstr>a29</vt:lpwstr>
      </vt:variant>
      <vt:variant>
        <vt:i4>8126478</vt:i4>
      </vt:variant>
      <vt:variant>
        <vt:i4>54</vt:i4>
      </vt:variant>
      <vt:variant>
        <vt:i4>0</vt:i4>
      </vt:variant>
      <vt:variant>
        <vt:i4>5</vt:i4>
      </vt:variant>
      <vt:variant>
        <vt:lpwstr>http://noticias.juridicas.com/base_datos/Fiscal/rdleg1-1993.t4.html</vt:lpwstr>
      </vt:variant>
      <vt:variant>
        <vt:lpwstr/>
      </vt:variant>
      <vt:variant>
        <vt:i4>2228245</vt:i4>
      </vt:variant>
      <vt:variant>
        <vt:i4>51</vt:i4>
      </vt:variant>
      <vt:variant>
        <vt:i4>0</vt:i4>
      </vt:variant>
      <vt:variant>
        <vt:i4>5</vt:i4>
      </vt:variant>
      <vt:variant>
        <vt:lpwstr>http://noticias.juridicas.com/base_datos/CCAA/538599-decreto-legislativo-2-2014-de-22-de-octubre-por-el-que-se-aprueba-el-texto.html</vt:lpwstr>
      </vt:variant>
      <vt:variant>
        <vt:lpwstr>a29</vt:lpwstr>
      </vt:variant>
      <vt:variant>
        <vt:i4>3407934</vt:i4>
      </vt:variant>
      <vt:variant>
        <vt:i4>48</vt:i4>
      </vt:variant>
      <vt:variant>
        <vt:i4>0</vt:i4>
      </vt:variant>
      <vt:variant>
        <vt:i4>5</vt:i4>
      </vt:variant>
      <vt:variant>
        <vt:lpwstr>https://serviciostelematicosext.hacienda.gob.es/TEAC/DYCTEA/criterio.aspx?id=00/04878/2018/00/0/1&amp;q=s%3d1%26rn%3d%26ra%3d%26fd%3d10%2f06%2f2020%26fh%3d10%2f06%2f2020%26u%3d%26n%3d%26p%3d%26c1%3d%26c2%3d%26c3%3d%26tc%3d1%26tr%3d%26tp%3d%26tf%3d%26c%3d2%26pg%3d</vt:lpwstr>
      </vt:variant>
      <vt:variant>
        <vt:lpwstr/>
      </vt:variant>
      <vt:variant>
        <vt:i4>1179724</vt:i4>
      </vt:variant>
      <vt:variant>
        <vt:i4>45</vt:i4>
      </vt:variant>
      <vt:variant>
        <vt:i4>0</vt:i4>
      </vt:variant>
      <vt:variant>
        <vt:i4>5</vt:i4>
      </vt:variant>
      <vt:variant>
        <vt:lpwstr>https://sites.google.com/site/levantenot/</vt:lpwstr>
      </vt:variant>
      <vt:variant>
        <vt:lpwstr/>
      </vt:variant>
      <vt:variant>
        <vt:i4>6094966</vt:i4>
      </vt:variant>
      <vt:variant>
        <vt:i4>42</vt:i4>
      </vt:variant>
      <vt:variant>
        <vt:i4>0</vt:i4>
      </vt:variant>
      <vt:variant>
        <vt:i4>5</vt:i4>
      </vt:variant>
      <vt:variant>
        <vt:lpwstr>http://www15.gencat.cat/ecofin_dgt/AppJava/cercador?op=detall&amp;etribut=consultes&amp;pageNumber=2&amp;ta=consultes&amp;id=30933296</vt:lpwstr>
      </vt:variant>
      <vt:variant>
        <vt:lpwstr/>
      </vt:variant>
      <vt:variant>
        <vt:i4>5570642</vt:i4>
      </vt:variant>
      <vt:variant>
        <vt:i4>39</vt:i4>
      </vt:variant>
      <vt:variant>
        <vt:i4>0</vt:i4>
      </vt:variant>
      <vt:variant>
        <vt:i4>5</vt:i4>
      </vt:variant>
      <vt:variant>
        <vt:lpwstr>http://petete.meh.es/Scripts/know3.exe/tributos/consulta/texto.htm?NDoc=16808&amp;Consulta=%2EEN+NUM%2DCONSULTA+%2800%36%33%2D0%34%29&amp;Pos=0&amp;UD=1</vt:lpwstr>
      </vt:variant>
      <vt:variant>
        <vt:lpwstr/>
      </vt:variant>
      <vt:variant>
        <vt:i4>7209073</vt:i4>
      </vt:variant>
      <vt:variant>
        <vt:i4>36</vt:i4>
      </vt:variant>
      <vt:variant>
        <vt:i4>0</vt:i4>
      </vt:variant>
      <vt:variant>
        <vt:i4>5</vt:i4>
      </vt:variant>
      <vt:variant>
        <vt:lpwstr>http://petete.meh.es/Scripts/know3.exe/tributos/consulta/texto.htm?NDoc=15021&amp;Consulta=%2EEN+NUM%2DCONSULTA+%28%32%31%39%35%2D00%29&amp;Pos=0&amp;UD=1</vt:lpwstr>
      </vt:variant>
      <vt:variant>
        <vt:lpwstr/>
      </vt:variant>
      <vt:variant>
        <vt:i4>7995427</vt:i4>
      </vt:variant>
      <vt:variant>
        <vt:i4>33</vt:i4>
      </vt:variant>
      <vt:variant>
        <vt:i4>0</vt:i4>
      </vt:variant>
      <vt:variant>
        <vt:i4>5</vt:i4>
      </vt:variant>
      <vt:variant>
        <vt:lpwstr>http://petete.meh.es/Scripts/know3.exe/tributos/consulta/texto.htm?NDoc=344&amp;Consulta=%2EEN+FECHA%2DSALIDA+%28%320%2F0%31%2F%32000%29&amp;Pos=2</vt:lpwstr>
      </vt:variant>
      <vt:variant>
        <vt:lpwstr/>
      </vt:variant>
      <vt:variant>
        <vt:i4>8126478</vt:i4>
      </vt:variant>
      <vt:variant>
        <vt:i4>30</vt:i4>
      </vt:variant>
      <vt:variant>
        <vt:i4>0</vt:i4>
      </vt:variant>
      <vt:variant>
        <vt:i4>5</vt:i4>
      </vt:variant>
      <vt:variant>
        <vt:lpwstr>http://noticias.juridicas.com/base_datos/Fiscal/rdleg1-1993.t4.html</vt:lpwstr>
      </vt:variant>
      <vt:variant>
        <vt:lpwstr/>
      </vt:variant>
      <vt:variant>
        <vt:i4>8126478</vt:i4>
      </vt:variant>
      <vt:variant>
        <vt:i4>27</vt:i4>
      </vt:variant>
      <vt:variant>
        <vt:i4>0</vt:i4>
      </vt:variant>
      <vt:variant>
        <vt:i4>5</vt:i4>
      </vt:variant>
      <vt:variant>
        <vt:lpwstr>http://noticias.juridicas.com/base_datos/Fiscal/rdleg1-1993.t4.html</vt:lpwstr>
      </vt:variant>
      <vt:variant>
        <vt:lpwstr/>
      </vt:variant>
      <vt:variant>
        <vt:i4>2228245</vt:i4>
      </vt:variant>
      <vt:variant>
        <vt:i4>24</vt:i4>
      </vt:variant>
      <vt:variant>
        <vt:i4>0</vt:i4>
      </vt:variant>
      <vt:variant>
        <vt:i4>5</vt:i4>
      </vt:variant>
      <vt:variant>
        <vt:lpwstr>http://noticias.juridicas.com/base_datos/CCAA/538599-decreto-legislativo-2-2014-de-22-de-octubre-por-el-que-se-aprueba-el-texto.html</vt:lpwstr>
      </vt:variant>
      <vt:variant>
        <vt:lpwstr>a27</vt:lpwstr>
      </vt:variant>
      <vt:variant>
        <vt:i4>2359312</vt:i4>
      </vt:variant>
      <vt:variant>
        <vt:i4>21</vt:i4>
      </vt:variant>
      <vt:variant>
        <vt:i4>0</vt:i4>
      </vt:variant>
      <vt:variant>
        <vt:i4>5</vt:i4>
      </vt:variant>
      <vt:variant>
        <vt:lpwstr>http://noticias.juridicas.com/base_datos/CCAA/538599-decreto-legislativo-2-2014-de-22-de-octubre-por-el-que-se-aprueba-el-texto.html</vt:lpwstr>
      </vt:variant>
      <vt:variant>
        <vt:lpwstr>t1c4s1</vt:lpwstr>
      </vt:variant>
      <vt:variant>
        <vt:i4>4784239</vt:i4>
      </vt:variant>
      <vt:variant>
        <vt:i4>18</vt:i4>
      </vt:variant>
      <vt:variant>
        <vt:i4>0</vt:i4>
      </vt:variant>
      <vt:variant>
        <vt:i4>5</vt:i4>
      </vt:variant>
      <vt:variant>
        <vt:lpwstr>http://noticias.juridicas.com/base_datos/Fiscal/rdleg1-1993.t5.html</vt:lpwstr>
      </vt:variant>
      <vt:variant>
        <vt:lpwstr>a45</vt:lpwstr>
      </vt:variant>
      <vt:variant>
        <vt:i4>3473488</vt:i4>
      </vt:variant>
      <vt:variant>
        <vt:i4>15</vt:i4>
      </vt:variant>
      <vt:variant>
        <vt:i4>0</vt:i4>
      </vt:variant>
      <vt:variant>
        <vt:i4>5</vt:i4>
      </vt:variant>
      <vt:variant>
        <vt:lpwstr>http://noticias.juridicas.com/base_datos/Fiscal/l37-1992.t7.html</vt:lpwstr>
      </vt:variant>
      <vt:variant>
        <vt:lpwstr>a91</vt:lpwstr>
      </vt:variant>
      <vt:variant>
        <vt:i4>3473488</vt:i4>
      </vt:variant>
      <vt:variant>
        <vt:i4>12</vt:i4>
      </vt:variant>
      <vt:variant>
        <vt:i4>0</vt:i4>
      </vt:variant>
      <vt:variant>
        <vt:i4>5</vt:i4>
      </vt:variant>
      <vt:variant>
        <vt:lpwstr>http://noticias.juridicas.com/base_datos/Fiscal/l37-1992.t7.html</vt:lpwstr>
      </vt:variant>
      <vt:variant>
        <vt:lpwstr>a91</vt:lpwstr>
      </vt:variant>
      <vt:variant>
        <vt:i4>2424853</vt:i4>
      </vt:variant>
      <vt:variant>
        <vt:i4>9</vt:i4>
      </vt:variant>
      <vt:variant>
        <vt:i4>0</vt:i4>
      </vt:variant>
      <vt:variant>
        <vt:i4>5</vt:i4>
      </vt:variant>
      <vt:variant>
        <vt:lpwstr>http://noticias.juridicas.com/base_datos/CCAA/538599-decreto-legislativo-2-2014-de-22-de-octubre-por-el-que-se-aprueba-el-texto.html</vt:lpwstr>
      </vt:variant>
      <vt:variant>
        <vt:lpwstr>a52</vt:lpwstr>
      </vt:variant>
      <vt:variant>
        <vt:i4>2621499</vt:i4>
      </vt:variant>
      <vt:variant>
        <vt:i4>6</vt:i4>
      </vt:variant>
      <vt:variant>
        <vt:i4>0</vt:i4>
      </vt:variant>
      <vt:variant>
        <vt:i4>5</vt:i4>
      </vt:variant>
      <vt:variant>
        <vt:lpwstr>http://www.notariosyregistradores.com/</vt:lpwstr>
      </vt:variant>
      <vt:variant>
        <vt:lpwstr/>
      </vt:variant>
      <vt:variant>
        <vt:i4>4259860</vt:i4>
      </vt:variant>
      <vt:variant>
        <vt:i4>3</vt:i4>
      </vt:variant>
      <vt:variant>
        <vt:i4>0</vt:i4>
      </vt:variant>
      <vt:variant>
        <vt:i4>5</vt:i4>
      </vt:variant>
      <vt:variant>
        <vt:lpwstr>https://www.notariosyregistradores.com/web/secciones/fiscal/articulos-fiscal/apuntes-de-urgencia-sobre-el-impuesto-hipotecario-vicente-martorell/</vt:lpwstr>
      </vt:variant>
      <vt:variant>
        <vt:lpwstr/>
      </vt:variant>
      <vt:variant>
        <vt:i4>3211346</vt:i4>
      </vt:variant>
      <vt:variant>
        <vt:i4>0</vt:i4>
      </vt:variant>
      <vt:variant>
        <vt:i4>0</vt:i4>
      </vt:variant>
      <vt:variant>
        <vt:i4>5</vt:i4>
      </vt:variant>
      <vt:variant>
        <vt:lpwstr>https://petete.minhafp.gob.es/consultas/?num_consulta=V1219-19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Vicente Martorell García</dc:title>
  <dc:subject/>
  <dc:creator>*</dc:creator>
  <cp:keywords/>
  <dc:description/>
  <cp:lastModifiedBy>Vicente Martorell</cp:lastModifiedBy>
  <cp:revision>1</cp:revision>
  <cp:lastPrinted>2025-02-11T12:04:00Z</cp:lastPrinted>
  <dcterms:created xsi:type="dcterms:W3CDTF">2026-02-25T10:03:00Z</dcterms:created>
  <dcterms:modified xsi:type="dcterms:W3CDTF">2026-09-11T10:08:00Z</dcterms:modified>
</cp:coreProperties>
</file>